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A490C" w14:textId="77777777" w:rsidR="00F14FB1" w:rsidRPr="00195063" w:rsidRDefault="00F14FB1" w:rsidP="00C22266">
      <w:r>
        <w:rPr>
          <w:noProof/>
          <w:lang w:val="en-US"/>
        </w:rPr>
        <w:drawing>
          <wp:inline distT="0" distB="0" distL="0" distR="0" wp14:anchorId="50146E0A" wp14:editId="2841B34F">
            <wp:extent cx="1200150" cy="1014146"/>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2170" cy="1024304"/>
                    </a:xfrm>
                    <a:prstGeom prst="rect">
                      <a:avLst/>
                    </a:prstGeom>
                    <a:noFill/>
                    <a:ln>
                      <a:noFill/>
                    </a:ln>
                  </pic:spPr>
                </pic:pic>
              </a:graphicData>
            </a:graphic>
          </wp:inline>
        </w:drawing>
      </w:r>
    </w:p>
    <w:p w14:paraId="3D085895" w14:textId="77777777" w:rsidR="00F14FB1" w:rsidRPr="0056001B" w:rsidRDefault="00F14FB1" w:rsidP="00F14FB1">
      <w:pPr>
        <w:rPr>
          <w:b/>
          <w:bCs/>
          <w:color w:val="7030A0"/>
        </w:rPr>
      </w:pPr>
      <w:r w:rsidRPr="0056001B">
        <w:rPr>
          <w:b/>
          <w:bCs/>
          <w:noProof/>
          <w:color w:val="7030A0"/>
        </w:rPr>
        <w:t>CFoIS</w:t>
      </w:r>
    </w:p>
    <w:p w14:paraId="043B2B24" w14:textId="1039F0FD" w:rsidR="00F14FB1" w:rsidRDefault="00F14FB1" w:rsidP="00F14FB1">
      <w:pPr>
        <w:rPr>
          <w:b/>
          <w:bCs/>
          <w:iCs/>
          <w:color w:val="7030A0"/>
        </w:rPr>
      </w:pPr>
      <w:r w:rsidRPr="0056001B">
        <w:rPr>
          <w:b/>
          <w:bCs/>
          <w:color w:val="7030A0"/>
        </w:rPr>
        <w:t xml:space="preserve">Promoting the Right to </w:t>
      </w:r>
      <w:r w:rsidRPr="0056001B">
        <w:rPr>
          <w:b/>
          <w:bCs/>
          <w:iCs/>
          <w:color w:val="7030A0"/>
        </w:rPr>
        <w:t>Information in Scotland</w:t>
      </w:r>
    </w:p>
    <w:p w14:paraId="19DED003" w14:textId="13DEBC1D" w:rsidR="00E53F17" w:rsidRDefault="00E53F17" w:rsidP="00F14FB1">
      <w:pPr>
        <w:rPr>
          <w:b/>
          <w:bCs/>
          <w:iCs/>
          <w:color w:val="7030A0"/>
        </w:rPr>
      </w:pPr>
    </w:p>
    <w:p w14:paraId="61EF0ADE" w14:textId="77777777" w:rsidR="00253BE2" w:rsidRPr="00253BE2" w:rsidRDefault="00E53F17" w:rsidP="00E53F17">
      <w:pPr>
        <w:jc w:val="center"/>
        <w:rPr>
          <w:rFonts w:eastAsia="Times New Roman"/>
          <w:b/>
          <w:bCs/>
          <w:sz w:val="28"/>
          <w:szCs w:val="28"/>
          <w:lang w:eastAsia="en-GB"/>
        </w:rPr>
      </w:pPr>
      <w:r w:rsidRPr="00253BE2">
        <w:rPr>
          <w:rFonts w:eastAsia="Times New Roman"/>
          <w:b/>
          <w:bCs/>
          <w:sz w:val="28"/>
          <w:szCs w:val="28"/>
          <w:lang w:eastAsia="en-GB"/>
        </w:rPr>
        <w:t xml:space="preserve">Submission to the </w:t>
      </w:r>
      <w:r w:rsidR="00253BE2" w:rsidRPr="00253BE2">
        <w:rPr>
          <w:rFonts w:eastAsia="Times New Roman"/>
          <w:b/>
          <w:bCs/>
          <w:sz w:val="28"/>
          <w:szCs w:val="28"/>
          <w:lang w:eastAsia="en-GB"/>
        </w:rPr>
        <w:t xml:space="preserve">Scottish Government’s Consultation </w:t>
      </w:r>
    </w:p>
    <w:p w14:paraId="796ACDDC" w14:textId="77777777" w:rsidR="00253BE2" w:rsidRPr="00253BE2" w:rsidRDefault="00253BE2" w:rsidP="00E53F17">
      <w:pPr>
        <w:jc w:val="center"/>
        <w:rPr>
          <w:rFonts w:eastAsia="Times New Roman"/>
          <w:b/>
          <w:bCs/>
          <w:sz w:val="28"/>
          <w:szCs w:val="28"/>
          <w:lang w:eastAsia="en-GB"/>
        </w:rPr>
      </w:pPr>
      <w:r w:rsidRPr="00253BE2">
        <w:rPr>
          <w:rFonts w:eastAsia="Times New Roman"/>
          <w:b/>
          <w:bCs/>
          <w:sz w:val="28"/>
          <w:szCs w:val="28"/>
          <w:lang w:eastAsia="en-GB"/>
        </w:rPr>
        <w:t>Terms of Reference - I</w:t>
      </w:r>
      <w:r w:rsidR="00E53F17" w:rsidRPr="00253BE2">
        <w:rPr>
          <w:rFonts w:eastAsia="Times New Roman"/>
          <w:b/>
          <w:bCs/>
          <w:sz w:val="28"/>
          <w:szCs w:val="28"/>
          <w:lang w:eastAsia="en-GB"/>
        </w:rPr>
        <w:t>nquiry</w:t>
      </w:r>
      <w:r w:rsidRPr="00253BE2">
        <w:rPr>
          <w:rFonts w:eastAsia="Times New Roman"/>
          <w:b/>
          <w:bCs/>
          <w:sz w:val="28"/>
          <w:szCs w:val="28"/>
          <w:lang w:eastAsia="en-GB"/>
        </w:rPr>
        <w:t xml:space="preserve"> on Management and Impact of </w:t>
      </w:r>
    </w:p>
    <w:p w14:paraId="62E360C7" w14:textId="529A02D0" w:rsidR="00E53F17" w:rsidRPr="00253BE2" w:rsidRDefault="00E53F17" w:rsidP="00E53F17">
      <w:pPr>
        <w:jc w:val="center"/>
        <w:rPr>
          <w:b/>
          <w:bCs/>
          <w:sz w:val="28"/>
          <w:szCs w:val="28"/>
        </w:rPr>
      </w:pPr>
      <w:r w:rsidRPr="00253BE2">
        <w:rPr>
          <w:rFonts w:eastAsia="Times New Roman"/>
          <w:b/>
          <w:bCs/>
          <w:sz w:val="28"/>
          <w:szCs w:val="28"/>
          <w:lang w:eastAsia="en-GB"/>
        </w:rPr>
        <w:t xml:space="preserve">COVID-19 pandemic </w:t>
      </w:r>
    </w:p>
    <w:p w14:paraId="6CF2C3D7" w14:textId="77777777" w:rsidR="00F14FB1" w:rsidRPr="00E53F17" w:rsidRDefault="00F14FB1" w:rsidP="00E53F17">
      <w:pPr>
        <w:jc w:val="center"/>
        <w:rPr>
          <w:b/>
          <w:bCs/>
        </w:rPr>
      </w:pPr>
    </w:p>
    <w:p w14:paraId="5F8DFCFF" w14:textId="41909916" w:rsidR="00F11CD2" w:rsidRPr="00F11CD2" w:rsidRDefault="00F11CD2" w:rsidP="00AD301C">
      <w:pPr>
        <w:rPr>
          <w:rFonts w:eastAsia="Times New Roman"/>
          <w:b/>
          <w:bCs/>
          <w:i/>
          <w:iCs/>
          <w:lang w:eastAsia="en-GB"/>
        </w:rPr>
      </w:pPr>
      <w:r w:rsidRPr="00F11CD2">
        <w:rPr>
          <w:i/>
          <w:iCs/>
          <w:shd w:val="clear" w:color="auto" w:fill="FFFFFF"/>
        </w:rPr>
        <w:t>Access to reliable information saves lives. Misinformation and rumours can cost them. This  simple  lesson  is  one  we  have  learnt  to  our  detriment  in  recent  years.  Whether  fighting  a  global  pandemic  or  supporting  public  debate,  we  need  free,  reliable  and  independent information as the foundation upon which democratic societies are built.</w:t>
      </w:r>
      <w:r w:rsidR="003E55AE">
        <w:rPr>
          <w:i/>
          <w:iCs/>
          <w:shd w:val="clear" w:color="auto" w:fill="FFFFFF"/>
        </w:rPr>
        <w:t xml:space="preserve">   </w:t>
      </w:r>
      <w:r w:rsidRPr="00F11CD2">
        <w:rPr>
          <w:i/>
          <w:iCs/>
          <w:shd w:val="clear" w:color="auto" w:fill="FFFFFF"/>
        </w:rPr>
        <w:t>This  is  why,  for  UNESCO,  ensuring  access  to  information  is  a  top  priority,  and  one  enshrined in our Constitution. It is also why this fundamental human right is written into the goals of the 2030 Agenda for Sustainable Development</w:t>
      </w:r>
      <w:r w:rsidRPr="00F11CD2">
        <w:rPr>
          <w:b/>
          <w:bCs/>
          <w:i/>
          <w:iCs/>
          <w:shd w:val="clear" w:color="auto" w:fill="FFFFFF"/>
        </w:rPr>
        <w:t>.</w:t>
      </w:r>
      <w:r w:rsidRPr="00F11CD2">
        <w:rPr>
          <w:b/>
          <w:bCs/>
          <w:i/>
          <w:iCs/>
          <w:shd w:val="clear" w:color="auto" w:fill="FFFFFF"/>
        </w:rPr>
        <w:t xml:space="preserve"> </w:t>
      </w:r>
      <w:r>
        <w:rPr>
          <w:b/>
          <w:bCs/>
          <w:i/>
          <w:iCs/>
          <w:shd w:val="clear" w:color="auto" w:fill="FFFFFF"/>
        </w:rPr>
        <w:tab/>
      </w:r>
      <w:r>
        <w:rPr>
          <w:b/>
          <w:bCs/>
          <w:i/>
          <w:iCs/>
          <w:shd w:val="clear" w:color="auto" w:fill="FFFFFF"/>
        </w:rPr>
        <w:tab/>
      </w:r>
      <w:r>
        <w:rPr>
          <w:b/>
          <w:bCs/>
          <w:i/>
          <w:iCs/>
          <w:shd w:val="clear" w:color="auto" w:fill="FFFFFF"/>
        </w:rPr>
        <w:tab/>
      </w:r>
      <w:r w:rsidRPr="00F11CD2">
        <w:rPr>
          <w:b/>
          <w:bCs/>
          <w:shd w:val="clear" w:color="auto" w:fill="FFFFFF"/>
        </w:rPr>
        <w:t>Director-General of UNESCO</w:t>
      </w:r>
      <w:r>
        <w:rPr>
          <w:rStyle w:val="FootnoteReference"/>
          <w:b/>
          <w:bCs/>
          <w:shd w:val="clear" w:color="auto" w:fill="FFFFFF"/>
        </w:rPr>
        <w:footnoteReference w:id="1"/>
      </w:r>
    </w:p>
    <w:p w14:paraId="7033933D" w14:textId="77777777" w:rsidR="00F11CD2" w:rsidRPr="00F11CD2" w:rsidRDefault="00F11CD2" w:rsidP="00AD301C">
      <w:pPr>
        <w:rPr>
          <w:rFonts w:eastAsia="Times New Roman"/>
          <w:b/>
          <w:bCs/>
          <w:i/>
          <w:iCs/>
          <w:lang w:eastAsia="en-GB"/>
        </w:rPr>
      </w:pPr>
    </w:p>
    <w:p w14:paraId="4C53AD4D" w14:textId="652FA757" w:rsidR="00C050AF" w:rsidRPr="002E4103" w:rsidRDefault="003555CC" w:rsidP="00AD301C">
      <w:pPr>
        <w:rPr>
          <w:rFonts w:eastAsia="Times New Roman"/>
          <w:b/>
          <w:bCs/>
          <w:lang w:eastAsia="en-GB"/>
        </w:rPr>
      </w:pPr>
      <w:r w:rsidRPr="002E4103">
        <w:rPr>
          <w:rFonts w:eastAsia="Times New Roman"/>
          <w:b/>
          <w:bCs/>
          <w:lang w:eastAsia="en-GB"/>
        </w:rPr>
        <w:t>Introduction</w:t>
      </w:r>
    </w:p>
    <w:p w14:paraId="47EC33C2" w14:textId="11896766" w:rsidR="00CD430B" w:rsidRDefault="009C4D3D" w:rsidP="00AD301C">
      <w:pPr>
        <w:rPr>
          <w:rFonts w:eastAsia="Times New Roman"/>
          <w:lang w:eastAsia="en-GB"/>
        </w:rPr>
      </w:pPr>
      <w:r w:rsidRPr="002E4103">
        <w:rPr>
          <w:rFonts w:eastAsia="Times New Roman"/>
          <w:lang w:eastAsia="en-GB"/>
        </w:rPr>
        <w:t xml:space="preserve">The Campaign for Freedom of Information in Scotland (CFoIS) </w:t>
      </w:r>
      <w:r w:rsidR="00A63CF5" w:rsidRPr="002E4103">
        <w:rPr>
          <w:rFonts w:eastAsia="Times New Roman"/>
          <w:lang w:eastAsia="en-GB"/>
        </w:rPr>
        <w:t>welcomes</w:t>
      </w:r>
      <w:r w:rsidRPr="002E4103">
        <w:rPr>
          <w:rFonts w:eastAsia="Times New Roman"/>
          <w:lang w:eastAsia="en-GB"/>
        </w:rPr>
        <w:t xml:space="preserve"> the opportunity to submit </w:t>
      </w:r>
      <w:r w:rsidR="00164BF8">
        <w:rPr>
          <w:rFonts w:eastAsia="Times New Roman"/>
          <w:lang w:eastAsia="en-GB"/>
        </w:rPr>
        <w:t>its evidenced views</w:t>
      </w:r>
      <w:r w:rsidR="00BC53AE">
        <w:rPr>
          <w:rFonts w:eastAsia="Times New Roman"/>
          <w:lang w:eastAsia="en-GB"/>
        </w:rPr>
        <w:t>.</w:t>
      </w:r>
      <w:r w:rsidRPr="002E4103">
        <w:rPr>
          <w:rFonts w:eastAsia="Times New Roman"/>
          <w:lang w:eastAsia="en-GB"/>
        </w:rPr>
        <w:t xml:space="preserve"> </w:t>
      </w:r>
      <w:r w:rsidR="00CD430B">
        <w:rPr>
          <w:rFonts w:eastAsia="Times New Roman"/>
          <w:lang w:eastAsia="en-GB"/>
        </w:rPr>
        <w:t xml:space="preserve">  </w:t>
      </w:r>
      <w:r w:rsidR="00CD430B" w:rsidRPr="00CD430B">
        <w:t xml:space="preserve">The right to life is a fundamental human right protected by Article 2 of the </w:t>
      </w:r>
      <w:r w:rsidR="00CD430B">
        <w:t>European Convention on Human Rights (</w:t>
      </w:r>
      <w:r w:rsidR="00CD430B" w:rsidRPr="00CD430B">
        <w:t>ECHR</w:t>
      </w:r>
      <w:r w:rsidR="00CD430B">
        <w:t xml:space="preserve">).  </w:t>
      </w:r>
      <w:r w:rsidR="00810F01">
        <w:t>Deliver</w:t>
      </w:r>
      <w:r w:rsidR="00CD430B">
        <w:t>ing the duty to protect life and health needs to be fair and proportionat</w:t>
      </w:r>
      <w:r w:rsidR="00653B47">
        <w:t>e</w:t>
      </w:r>
      <w:r w:rsidR="00CD430B">
        <w:t xml:space="preserve">. </w:t>
      </w:r>
      <w:r w:rsidRPr="002E4103">
        <w:rPr>
          <w:rFonts w:eastAsia="Times New Roman"/>
          <w:lang w:eastAsia="en-GB"/>
        </w:rPr>
        <w:t xml:space="preserve"> </w:t>
      </w:r>
    </w:p>
    <w:p w14:paraId="3D0D7FFD" w14:textId="49F3E0FB" w:rsidR="00653B47" w:rsidRDefault="00653B47" w:rsidP="00AD301C">
      <w:pPr>
        <w:rPr>
          <w:rFonts w:eastAsia="Times New Roman"/>
          <w:lang w:eastAsia="en-GB"/>
        </w:rPr>
      </w:pPr>
    </w:p>
    <w:p w14:paraId="35C2A00B" w14:textId="77777777" w:rsidR="00653B47" w:rsidRDefault="00653B47" w:rsidP="00653B47">
      <w:r w:rsidRPr="002E4103">
        <w:rPr>
          <w:rFonts w:eastAsia="Times New Roman"/>
          <w:lang w:eastAsia="en-GB"/>
        </w:rPr>
        <w:t xml:space="preserve">This submission draws on previous briefings and </w:t>
      </w:r>
      <w:r>
        <w:rPr>
          <w:rFonts w:eastAsia="Times New Roman"/>
          <w:lang w:eastAsia="en-GB"/>
        </w:rPr>
        <w:t>communications on compliance with and enforcement of, accessing to information rights during the Scottish Government’s and publicly funded agencies’ management of the pandemic</w:t>
      </w:r>
      <w:r w:rsidRPr="002E4103">
        <w:t>.</w:t>
      </w:r>
    </w:p>
    <w:p w14:paraId="06829DBE" w14:textId="77777777" w:rsidR="00653B47" w:rsidRDefault="00653B47" w:rsidP="00653B47"/>
    <w:p w14:paraId="5BEA2A09" w14:textId="77777777" w:rsidR="00653B47" w:rsidRDefault="00653B47" w:rsidP="00653B47">
      <w:r>
        <w:t xml:space="preserve">CFoIS wishes to put on records its thanks to the public sector workers for their service.  We also recognise the crucial role of private sector workers in protecting the physical and mental health of the population during the pandemic. </w:t>
      </w:r>
    </w:p>
    <w:p w14:paraId="79789969" w14:textId="22A2455C" w:rsidR="00653B47" w:rsidRDefault="00653B47" w:rsidP="00AD301C">
      <w:pPr>
        <w:rPr>
          <w:rFonts w:eastAsia="Times New Roman"/>
          <w:lang w:eastAsia="en-GB"/>
        </w:rPr>
      </w:pPr>
    </w:p>
    <w:p w14:paraId="5FBCD21E" w14:textId="77777777" w:rsidR="00653B47" w:rsidRPr="00CD430B" w:rsidRDefault="00653B47" w:rsidP="00653B47">
      <w:pPr>
        <w:rPr>
          <w:b/>
          <w:bCs/>
        </w:rPr>
      </w:pPr>
      <w:r w:rsidRPr="00CD430B">
        <w:rPr>
          <w:b/>
          <w:bCs/>
        </w:rPr>
        <w:t>FoI Law</w:t>
      </w:r>
    </w:p>
    <w:p w14:paraId="69D5A3C9" w14:textId="77777777" w:rsidR="00653B47" w:rsidRPr="00CD430B" w:rsidRDefault="00653B47" w:rsidP="00653B47">
      <w:pPr>
        <w:rPr>
          <w:color w:val="auto"/>
        </w:rPr>
      </w:pPr>
      <w:r w:rsidRPr="00CD430B">
        <w:t>FoISA became effective on 1</w:t>
      </w:r>
      <w:r w:rsidRPr="00CD430B">
        <w:rPr>
          <w:vertAlign w:val="superscript"/>
        </w:rPr>
        <w:t>st</w:t>
      </w:r>
      <w:r w:rsidRPr="00CD430B">
        <w:t xml:space="preserve"> January 2005 and places clear duties on 10,000 bodies specifically designated for coverage: to properly manage information so that it can be disclosed ‘promptly; to </w:t>
      </w:r>
      <w:r w:rsidRPr="00CD430B">
        <w:rPr>
          <w:color w:val="auto"/>
        </w:rPr>
        <w:t>answer individual request for information unless covered by one of many exemptions; to advise and assist requestors; and to pro-actively publish information.  It provides for the individual right to be enforced through an internal review process and an external appeal to the Scottish Information Commissioner</w:t>
      </w:r>
      <w:r w:rsidRPr="00CD430B">
        <w:rPr>
          <w:rStyle w:val="FootnoteReference"/>
          <w:color w:val="auto"/>
        </w:rPr>
        <w:footnoteReference w:id="2"/>
      </w:r>
      <w:r w:rsidRPr="00CD430B">
        <w:rPr>
          <w:color w:val="auto"/>
        </w:rPr>
        <w:t xml:space="preserve">.  </w:t>
      </w:r>
    </w:p>
    <w:p w14:paraId="43F93C86" w14:textId="77777777" w:rsidR="00653B47" w:rsidRPr="00CD430B" w:rsidRDefault="00653B47" w:rsidP="00653B47">
      <w:pPr>
        <w:rPr>
          <w:color w:val="auto"/>
        </w:rPr>
      </w:pPr>
    </w:p>
    <w:p w14:paraId="41EE9E47" w14:textId="77777777" w:rsidR="00810F01" w:rsidRDefault="00653B47" w:rsidP="00653B47">
      <w:pPr>
        <w:rPr>
          <w:color w:val="auto"/>
        </w:rPr>
      </w:pPr>
      <w:r w:rsidRPr="00CD430B">
        <w:rPr>
          <w:color w:val="auto"/>
        </w:rPr>
        <w:lastRenderedPageBreak/>
        <w:t xml:space="preserve">FoISA and the Environmental Information (Scotland) Regulations 2004’ (EISRs) provide the main legal framework to deliver Article 10 of the ECHR and Article 19 of </w:t>
      </w:r>
    </w:p>
    <w:p w14:paraId="4B93A6BD" w14:textId="1E627351" w:rsidR="00653B47" w:rsidRPr="0046295F" w:rsidRDefault="00653B47" w:rsidP="00653B47">
      <w:pPr>
        <w:rPr>
          <w:color w:val="auto"/>
        </w:rPr>
      </w:pPr>
      <w:r w:rsidRPr="00CD430B">
        <w:rPr>
          <w:color w:val="auto"/>
        </w:rPr>
        <w:t>the International</w:t>
      </w:r>
      <w:r w:rsidRPr="0046295F">
        <w:rPr>
          <w:color w:val="auto"/>
        </w:rPr>
        <w:t xml:space="preserve"> Covenant on Civil and Political Rights (ICCPR) on the right and the freedom to seek, receive and impart information and ideas …’</w:t>
      </w:r>
      <w:r w:rsidRPr="0046295F">
        <w:rPr>
          <w:rStyle w:val="FootnoteReference"/>
          <w:color w:val="auto"/>
        </w:rPr>
        <w:footnoteReference w:id="3"/>
      </w:r>
      <w:r w:rsidRPr="0046295F">
        <w:rPr>
          <w:color w:val="auto"/>
        </w:rPr>
        <w:t xml:space="preserve">.  FoISA and the EISRs have made a huge difference but action is needed to keep the rights modern, accessible, relevant, effective and robust. </w:t>
      </w:r>
    </w:p>
    <w:p w14:paraId="2F2C6957" w14:textId="29664623" w:rsidR="00164BF8" w:rsidRDefault="00164BF8" w:rsidP="00AD301C"/>
    <w:p w14:paraId="539D75B2" w14:textId="570E78C0" w:rsidR="00164BF8" w:rsidRPr="003E55AE" w:rsidRDefault="00164BF8" w:rsidP="00AD301C">
      <w:pPr>
        <w:rPr>
          <w:b/>
          <w:bCs/>
        </w:rPr>
      </w:pPr>
      <w:r w:rsidRPr="003E55AE">
        <w:rPr>
          <w:b/>
          <w:bCs/>
        </w:rPr>
        <w:t>Terms of Reference</w:t>
      </w:r>
    </w:p>
    <w:p w14:paraId="7675B336" w14:textId="70EEACA5" w:rsidR="00164BF8" w:rsidRPr="00581E20" w:rsidRDefault="003E55AE" w:rsidP="003E55AE">
      <w:pPr>
        <w:pStyle w:val="ListParagraph"/>
        <w:numPr>
          <w:ilvl w:val="0"/>
          <w:numId w:val="21"/>
        </w:numPr>
        <w:rPr>
          <w:b/>
          <w:bCs/>
        </w:rPr>
      </w:pPr>
      <w:r w:rsidRPr="00581E20">
        <w:rPr>
          <w:b/>
          <w:bCs/>
        </w:rPr>
        <w:t>W</w:t>
      </w:r>
      <w:r w:rsidR="00164BF8" w:rsidRPr="00581E20">
        <w:rPr>
          <w:b/>
          <w:bCs/>
        </w:rPr>
        <w:t>hat do you think the Inquiry should, and should not, cover?</w:t>
      </w:r>
    </w:p>
    <w:p w14:paraId="295FEA8D" w14:textId="49B80E22" w:rsidR="003E55AE" w:rsidRDefault="003E55AE" w:rsidP="00CD430B">
      <w:pPr>
        <w:pStyle w:val="ListParagraph"/>
        <w:numPr>
          <w:ilvl w:val="0"/>
          <w:numId w:val="23"/>
        </w:numPr>
      </w:pPr>
      <w:r>
        <w:t>What representations were made by Ministers and public agencies that resulted in the curtailment of FoI rights on 1</w:t>
      </w:r>
      <w:r w:rsidRPr="003E55AE">
        <w:rPr>
          <w:vertAlign w:val="superscript"/>
        </w:rPr>
        <w:t>st</w:t>
      </w:r>
      <w:r>
        <w:t xml:space="preserve"> April 2020. </w:t>
      </w:r>
    </w:p>
    <w:p w14:paraId="3502F875" w14:textId="66431EB1" w:rsidR="00CD430B" w:rsidRDefault="00CD430B" w:rsidP="00CD430B">
      <w:pPr>
        <w:pStyle w:val="ListParagraph"/>
        <w:numPr>
          <w:ilvl w:val="0"/>
          <w:numId w:val="23"/>
        </w:numPr>
      </w:pPr>
      <w:r>
        <w:t>What impact did the changes make within organisations designated under FoISA?</w:t>
      </w:r>
    </w:p>
    <w:p w14:paraId="02B0C574" w14:textId="33165837" w:rsidR="00CD430B" w:rsidRDefault="00CD430B" w:rsidP="003D1F07">
      <w:pPr>
        <w:pStyle w:val="ListParagraph"/>
        <w:numPr>
          <w:ilvl w:val="0"/>
          <w:numId w:val="23"/>
        </w:numPr>
      </w:pPr>
      <w:r>
        <w:t>How many key public sector agencies have reduced staffing on FoI Teams which has negatively impacted on their ability to respond promptly and within the maximum 20 working day response timeframe?</w:t>
      </w:r>
    </w:p>
    <w:p w14:paraId="4BA88418" w14:textId="1A2C1CF7" w:rsidR="003E55AE" w:rsidRDefault="003E55AE" w:rsidP="003E55AE">
      <w:pPr>
        <w:pStyle w:val="ListParagraph"/>
      </w:pPr>
      <w:r>
        <w:t xml:space="preserve"> </w:t>
      </w:r>
    </w:p>
    <w:p w14:paraId="1C691A67" w14:textId="5FB5ED40" w:rsidR="00164BF8" w:rsidRPr="00581E20" w:rsidRDefault="00164BF8" w:rsidP="003E55AE">
      <w:pPr>
        <w:pStyle w:val="ListParagraph"/>
        <w:numPr>
          <w:ilvl w:val="0"/>
          <w:numId w:val="21"/>
        </w:numPr>
        <w:rPr>
          <w:b/>
          <w:bCs/>
        </w:rPr>
      </w:pPr>
      <w:r w:rsidRPr="00581E20">
        <w:rPr>
          <w:b/>
          <w:bCs/>
        </w:rPr>
        <w:t>What should be done to ensure everyone learns from the Inquiry?</w:t>
      </w:r>
    </w:p>
    <w:p w14:paraId="1273C782" w14:textId="1B89D402" w:rsidR="003E55AE" w:rsidRPr="003E55AE" w:rsidRDefault="003E55AE" w:rsidP="003E55AE">
      <w:pPr>
        <w:pStyle w:val="ListParagraph"/>
      </w:pPr>
      <w:r>
        <w:t xml:space="preserve">The Inquiry should work with existing regulators of duties and rights to ensure strategic and organisational learning.  For example work with the Scottish Information Commissioner </w:t>
      </w:r>
      <w:r w:rsidR="00653B47">
        <w:t xml:space="preserve">(SIC) </w:t>
      </w:r>
      <w:r>
        <w:t xml:space="preserve">to </w:t>
      </w:r>
      <w:r>
        <w:t>learn from the organisational culture, records management and priority given to FoI rights in Scotland</w:t>
      </w:r>
      <w:r>
        <w:t xml:space="preserve"> and how will that inform the enforcement of FoI law in Scotland?</w:t>
      </w:r>
    </w:p>
    <w:p w14:paraId="0492CF6F" w14:textId="3D9E6BB7" w:rsidR="002E4103" w:rsidRPr="002E4103" w:rsidRDefault="0069683C" w:rsidP="002E4103">
      <w:pPr>
        <w:spacing w:before="100" w:beforeAutospacing="1" w:after="100" w:afterAutospacing="1"/>
        <w:rPr>
          <w:rFonts w:eastAsia="Times New Roman"/>
          <w:lang w:eastAsia="en-GB"/>
        </w:rPr>
      </w:pPr>
      <w:r>
        <w:t>CFoI</w:t>
      </w:r>
      <w:r w:rsidR="009474B1">
        <w:t>S</w:t>
      </w:r>
      <w:r w:rsidR="00C050AF" w:rsidRPr="002E4103">
        <w:t xml:space="preserve"> acknowledges the importance of pro-active publication of information by the </w:t>
      </w:r>
      <w:r w:rsidR="009474B1" w:rsidRPr="002E4103">
        <w:t>Scottish</w:t>
      </w:r>
      <w:r w:rsidR="00C050AF" w:rsidRPr="002E4103">
        <w:t xml:space="preserve"> Government on rates of infection and death in Scotland</w:t>
      </w:r>
      <w:r w:rsidR="00A751E9">
        <w:t>,</w:t>
      </w:r>
      <w:r w:rsidR="00E53F17">
        <w:t xml:space="preserve"> </w:t>
      </w:r>
      <w:r w:rsidR="00A751E9">
        <w:t>the</w:t>
      </w:r>
      <w:r w:rsidR="00C050AF" w:rsidRPr="002E4103">
        <w:t xml:space="preserve"> location of staff infected </w:t>
      </w:r>
      <w:r w:rsidR="009474B1" w:rsidRPr="002E4103">
        <w:t>e.g.</w:t>
      </w:r>
      <w:r w:rsidR="00C050AF" w:rsidRPr="002E4103">
        <w:t xml:space="preserve"> in care homes</w:t>
      </w:r>
      <w:r w:rsidR="00A751E9">
        <w:t xml:space="preserve"> and levels of testing</w:t>
      </w:r>
      <w:r>
        <w:t xml:space="preserve">.  We also acknowledge the flow of information from </w:t>
      </w:r>
      <w:r w:rsidR="00C050AF" w:rsidRPr="002E4103">
        <w:t>other public bodies such as the National Records of Scotland.  Pro-active publication is fundamental to FoI law in Scotla</w:t>
      </w:r>
      <w:r w:rsidR="00AD301C" w:rsidRPr="002E4103">
        <w:t>n</w:t>
      </w:r>
      <w:r w:rsidR="00C050AF" w:rsidRPr="002E4103">
        <w:t xml:space="preserve">d as it avoids the need for people and organisations to make </w:t>
      </w:r>
      <w:r w:rsidR="00977BD6">
        <w:t>a specific</w:t>
      </w:r>
      <w:r w:rsidR="00C050AF" w:rsidRPr="002E4103">
        <w:t xml:space="preserve"> FoI request.  However not all the information is available and in a format that people </w:t>
      </w:r>
      <w:r w:rsidR="00BD09F1">
        <w:t>need</w:t>
      </w:r>
      <w:r w:rsidR="00C050AF" w:rsidRPr="002E4103">
        <w:t xml:space="preserve"> so inevitably</w:t>
      </w:r>
      <w:r>
        <w:t xml:space="preserve"> people will feel </w:t>
      </w:r>
      <w:r w:rsidR="009474B1">
        <w:t>compelled</w:t>
      </w:r>
      <w:r>
        <w:t xml:space="preserve"> to make an </w:t>
      </w:r>
      <w:r w:rsidR="009474B1">
        <w:t>FoI</w:t>
      </w:r>
      <w:r>
        <w:t xml:space="preserve"> request</w:t>
      </w:r>
      <w:r w:rsidR="00AB30FD">
        <w:t>.</w:t>
      </w:r>
    </w:p>
    <w:p w14:paraId="3414F44F" w14:textId="44F978E4" w:rsidR="002A04EA" w:rsidRDefault="00A63CF5" w:rsidP="002E4103">
      <w:pPr>
        <w:spacing w:before="100" w:beforeAutospacing="1" w:after="100" w:afterAutospacing="1"/>
        <w:rPr>
          <w:rFonts w:eastAsia="Times New Roman"/>
          <w:lang w:eastAsia="en-GB"/>
        </w:rPr>
      </w:pPr>
      <w:r w:rsidRPr="002E4103">
        <w:rPr>
          <w:rFonts w:eastAsia="Times New Roman"/>
          <w:lang w:eastAsia="en-GB"/>
        </w:rPr>
        <w:t>The decision</w:t>
      </w:r>
      <w:r w:rsidR="00BD09F1">
        <w:rPr>
          <w:rFonts w:eastAsia="Times New Roman"/>
          <w:lang w:eastAsia="en-GB"/>
        </w:rPr>
        <w:t xml:space="preserve"> of the Scottish Parliament</w:t>
      </w:r>
      <w:r w:rsidRPr="002E4103">
        <w:rPr>
          <w:rFonts w:eastAsia="Times New Roman"/>
          <w:lang w:eastAsia="en-GB"/>
        </w:rPr>
        <w:t xml:space="preserve"> to weaken </w:t>
      </w:r>
      <w:r w:rsidR="006520B7">
        <w:rPr>
          <w:rFonts w:eastAsia="Times New Roman"/>
          <w:lang w:eastAsia="en-GB"/>
        </w:rPr>
        <w:t>the Freedom of Information (Scotland) Act 2002 (FoISA)</w:t>
      </w:r>
      <w:r w:rsidR="00977BD6">
        <w:rPr>
          <w:rFonts w:eastAsia="Times New Roman"/>
          <w:lang w:eastAsia="en-GB"/>
        </w:rPr>
        <w:t xml:space="preserve"> on 1</w:t>
      </w:r>
      <w:r w:rsidR="00977BD6" w:rsidRPr="00977BD6">
        <w:rPr>
          <w:rFonts w:eastAsia="Times New Roman"/>
          <w:vertAlign w:val="superscript"/>
          <w:lang w:eastAsia="en-GB"/>
        </w:rPr>
        <w:t>st</w:t>
      </w:r>
      <w:r w:rsidR="00977BD6">
        <w:rPr>
          <w:rFonts w:eastAsia="Times New Roman"/>
          <w:lang w:eastAsia="en-GB"/>
        </w:rPr>
        <w:t xml:space="preserve"> April</w:t>
      </w:r>
      <w:r w:rsidR="007124D1">
        <w:rPr>
          <w:rFonts w:eastAsia="Times New Roman"/>
          <w:lang w:eastAsia="en-GB"/>
        </w:rPr>
        <w:t xml:space="preserve"> 2020</w:t>
      </w:r>
      <w:r w:rsidR="00977BD6">
        <w:rPr>
          <w:rFonts w:eastAsia="Times New Roman"/>
          <w:lang w:eastAsia="en-GB"/>
        </w:rPr>
        <w:t>,</w:t>
      </w:r>
      <w:r w:rsidRPr="002E4103">
        <w:rPr>
          <w:rFonts w:eastAsia="Times New Roman"/>
          <w:lang w:eastAsia="en-GB"/>
        </w:rPr>
        <w:t xml:space="preserve"> impacted on the behaviour of duty bears and significant</w:t>
      </w:r>
      <w:r w:rsidR="00BD09F1">
        <w:rPr>
          <w:rFonts w:eastAsia="Times New Roman"/>
          <w:lang w:eastAsia="en-GB"/>
        </w:rPr>
        <w:t>ly impacted on</w:t>
      </w:r>
      <w:r w:rsidRPr="002E4103">
        <w:rPr>
          <w:rFonts w:eastAsia="Times New Roman"/>
          <w:lang w:eastAsia="en-GB"/>
        </w:rPr>
        <w:t xml:space="preserve"> people’s right to access information</w:t>
      </w:r>
      <w:r w:rsidR="00977BD6">
        <w:rPr>
          <w:rFonts w:eastAsia="Times New Roman"/>
          <w:lang w:eastAsia="en-GB"/>
        </w:rPr>
        <w:t xml:space="preserve"> </w:t>
      </w:r>
      <w:r w:rsidR="00977BD6" w:rsidRPr="002E4103">
        <w:rPr>
          <w:rFonts w:eastAsia="Times New Roman"/>
          <w:lang w:eastAsia="en-GB"/>
        </w:rPr>
        <w:t>during the pandemic</w:t>
      </w:r>
      <w:r w:rsidRPr="002E4103">
        <w:rPr>
          <w:rFonts w:eastAsia="Times New Roman"/>
          <w:lang w:eastAsia="en-GB"/>
        </w:rPr>
        <w:t xml:space="preserve">.  This was a </w:t>
      </w:r>
      <w:r w:rsidR="009474B1" w:rsidRPr="002E4103">
        <w:rPr>
          <w:rFonts w:eastAsia="Times New Roman"/>
          <w:lang w:eastAsia="en-GB"/>
        </w:rPr>
        <w:t>disproportionate</w:t>
      </w:r>
      <w:r w:rsidRPr="002E4103">
        <w:rPr>
          <w:rFonts w:eastAsia="Times New Roman"/>
          <w:lang w:eastAsia="en-GB"/>
        </w:rPr>
        <w:t xml:space="preserve"> and unreasonable </w:t>
      </w:r>
      <w:r w:rsidR="00BD09F1" w:rsidRPr="002E4103">
        <w:rPr>
          <w:rFonts w:eastAsia="Times New Roman"/>
          <w:lang w:eastAsia="en-GB"/>
        </w:rPr>
        <w:t>response</w:t>
      </w:r>
      <w:r w:rsidR="00BD09F1">
        <w:rPr>
          <w:rFonts w:eastAsia="Times New Roman"/>
          <w:lang w:eastAsia="en-GB"/>
        </w:rPr>
        <w:t xml:space="preserve"> as it negatively impacted on the </w:t>
      </w:r>
      <w:r w:rsidR="00C61286">
        <w:rPr>
          <w:rFonts w:eastAsia="Times New Roman"/>
          <w:lang w:eastAsia="en-GB"/>
        </w:rPr>
        <w:t xml:space="preserve">human </w:t>
      </w:r>
      <w:r w:rsidR="00BD09F1">
        <w:rPr>
          <w:rFonts w:eastAsia="Times New Roman"/>
          <w:lang w:eastAsia="en-GB"/>
        </w:rPr>
        <w:t>right to form an opinion by receiving and imparting accurate, official information</w:t>
      </w:r>
      <w:r w:rsidRPr="002E4103">
        <w:rPr>
          <w:rFonts w:eastAsia="Times New Roman"/>
          <w:lang w:eastAsia="en-GB"/>
        </w:rPr>
        <w:t xml:space="preserve">.  </w:t>
      </w:r>
      <w:r w:rsidR="002E4103" w:rsidRPr="002E4103">
        <w:rPr>
          <w:rFonts w:eastAsia="Times New Roman"/>
          <w:lang w:eastAsia="en-GB"/>
        </w:rPr>
        <w:t xml:space="preserve">Although </w:t>
      </w:r>
      <w:r w:rsidR="00653B47">
        <w:rPr>
          <w:rFonts w:eastAsia="Times New Roman"/>
          <w:lang w:eastAsia="en-GB"/>
        </w:rPr>
        <w:t>most</w:t>
      </w:r>
      <w:r w:rsidR="00C61286">
        <w:rPr>
          <w:rFonts w:eastAsia="Times New Roman"/>
          <w:lang w:eastAsia="en-GB"/>
        </w:rPr>
        <w:t xml:space="preserve"> legal changes were reversed</w:t>
      </w:r>
      <w:r w:rsidR="00977BD6">
        <w:rPr>
          <w:rFonts w:eastAsia="Times New Roman"/>
          <w:lang w:eastAsia="en-GB"/>
        </w:rPr>
        <w:t xml:space="preserve"> on 27</w:t>
      </w:r>
      <w:r w:rsidR="00977BD6" w:rsidRPr="00977BD6">
        <w:rPr>
          <w:rFonts w:eastAsia="Times New Roman"/>
          <w:vertAlign w:val="superscript"/>
          <w:lang w:eastAsia="en-GB"/>
        </w:rPr>
        <w:t>th</w:t>
      </w:r>
      <w:r w:rsidR="00977BD6">
        <w:rPr>
          <w:rFonts w:eastAsia="Times New Roman"/>
          <w:lang w:eastAsia="en-GB"/>
        </w:rPr>
        <w:t xml:space="preserve"> May</w:t>
      </w:r>
      <w:r w:rsidR="002E4103" w:rsidRPr="002E4103">
        <w:rPr>
          <w:rFonts w:eastAsia="Times New Roman"/>
          <w:lang w:eastAsia="en-GB"/>
        </w:rPr>
        <w:t xml:space="preserve"> </w:t>
      </w:r>
      <w:r w:rsidR="007124D1">
        <w:rPr>
          <w:rFonts w:eastAsia="Times New Roman"/>
          <w:lang w:eastAsia="en-GB"/>
        </w:rPr>
        <w:t>2020</w:t>
      </w:r>
      <w:r w:rsidR="00C61286">
        <w:rPr>
          <w:rFonts w:eastAsia="Times New Roman"/>
          <w:lang w:eastAsia="en-GB"/>
        </w:rPr>
        <w:t>,</w:t>
      </w:r>
      <w:r w:rsidR="007124D1">
        <w:rPr>
          <w:rFonts w:eastAsia="Times New Roman"/>
          <w:lang w:eastAsia="en-GB"/>
        </w:rPr>
        <w:t xml:space="preserve"> </w:t>
      </w:r>
      <w:r w:rsidR="002E4103" w:rsidRPr="002E4103">
        <w:rPr>
          <w:rFonts w:eastAsia="Times New Roman"/>
          <w:lang w:eastAsia="en-GB"/>
        </w:rPr>
        <w:t xml:space="preserve">it remains a significant matter </w:t>
      </w:r>
      <w:r w:rsidR="009474B1" w:rsidRPr="002E4103">
        <w:rPr>
          <w:rFonts w:eastAsia="Times New Roman"/>
          <w:lang w:eastAsia="en-GB"/>
        </w:rPr>
        <w:t>of</w:t>
      </w:r>
      <w:r w:rsidR="002E4103" w:rsidRPr="002E4103">
        <w:rPr>
          <w:rFonts w:eastAsia="Times New Roman"/>
          <w:lang w:eastAsia="en-GB"/>
        </w:rPr>
        <w:t xml:space="preserve"> concern that this human right was so easily restricted</w:t>
      </w:r>
      <w:r w:rsidR="007124D1">
        <w:rPr>
          <w:rFonts w:eastAsia="Times New Roman"/>
          <w:lang w:eastAsia="en-GB"/>
        </w:rPr>
        <w:t xml:space="preserve">. Furthermore, it </w:t>
      </w:r>
      <w:r w:rsidR="002E4103" w:rsidRPr="002E4103">
        <w:rPr>
          <w:rFonts w:eastAsia="Times New Roman"/>
          <w:lang w:eastAsia="en-GB"/>
        </w:rPr>
        <w:t>amplifies a</w:t>
      </w:r>
      <w:r w:rsidR="007124D1">
        <w:rPr>
          <w:rFonts w:eastAsia="Times New Roman"/>
          <w:lang w:eastAsia="en-GB"/>
        </w:rPr>
        <w:t xml:space="preserve"> pre-</w:t>
      </w:r>
      <w:r w:rsidR="009474B1" w:rsidRPr="002E4103">
        <w:rPr>
          <w:rFonts w:eastAsia="Times New Roman"/>
          <w:lang w:eastAsia="en-GB"/>
        </w:rPr>
        <w:t>existing</w:t>
      </w:r>
      <w:r w:rsidR="002E4103" w:rsidRPr="002E4103">
        <w:rPr>
          <w:rFonts w:eastAsia="Times New Roman"/>
          <w:lang w:eastAsia="en-GB"/>
        </w:rPr>
        <w:t xml:space="preserve"> concern that, </w:t>
      </w:r>
      <w:r w:rsidR="00A751E9">
        <w:rPr>
          <w:rFonts w:eastAsia="Times New Roman"/>
          <w:lang w:eastAsia="en-GB"/>
        </w:rPr>
        <w:t xml:space="preserve">in </w:t>
      </w:r>
      <w:r w:rsidR="002E4103" w:rsidRPr="002E4103">
        <w:rPr>
          <w:rFonts w:eastAsia="Times New Roman"/>
          <w:lang w:eastAsia="en-GB"/>
        </w:rPr>
        <w:t>some</w:t>
      </w:r>
      <w:r w:rsidR="00A751E9">
        <w:rPr>
          <w:rFonts w:eastAsia="Times New Roman"/>
          <w:lang w:eastAsia="en-GB"/>
        </w:rPr>
        <w:t xml:space="preserve"> organisations</w:t>
      </w:r>
      <w:r w:rsidR="002E4103" w:rsidRPr="002E4103">
        <w:rPr>
          <w:rFonts w:eastAsia="Times New Roman"/>
          <w:lang w:eastAsia="en-GB"/>
        </w:rPr>
        <w:t>, FoI rights and duties</w:t>
      </w:r>
      <w:r w:rsidR="007124D1">
        <w:rPr>
          <w:rFonts w:eastAsia="Times New Roman"/>
          <w:lang w:eastAsia="en-GB"/>
        </w:rPr>
        <w:t xml:space="preserve"> are seen to</w:t>
      </w:r>
      <w:r w:rsidR="002E4103" w:rsidRPr="002E4103">
        <w:rPr>
          <w:rFonts w:eastAsia="Times New Roman"/>
          <w:lang w:eastAsia="en-GB"/>
        </w:rPr>
        <w:t xml:space="preserve"> hamper the delivery of public services and </w:t>
      </w:r>
      <w:r w:rsidR="00C61286">
        <w:rPr>
          <w:rFonts w:eastAsia="Times New Roman"/>
          <w:lang w:eastAsia="en-GB"/>
        </w:rPr>
        <w:t>are</w:t>
      </w:r>
      <w:r w:rsidR="002E4103" w:rsidRPr="002E4103">
        <w:rPr>
          <w:rFonts w:eastAsia="Times New Roman"/>
          <w:lang w:eastAsia="en-GB"/>
        </w:rPr>
        <w:t xml:space="preserve"> costly.  </w:t>
      </w:r>
    </w:p>
    <w:p w14:paraId="01CEDEC2" w14:textId="34E94BAE" w:rsidR="00A751E9" w:rsidRDefault="0069683C" w:rsidP="002E4103">
      <w:pPr>
        <w:spacing w:before="100" w:beforeAutospacing="1" w:after="100" w:afterAutospacing="1"/>
      </w:pPr>
      <w:r>
        <w:rPr>
          <w:rFonts w:eastAsia="Times New Roman"/>
          <w:lang w:eastAsia="en-GB"/>
        </w:rPr>
        <w:t>Other</w:t>
      </w:r>
      <w:r w:rsidRPr="00F14FB1">
        <w:t xml:space="preserve"> problem</w:t>
      </w:r>
      <w:r>
        <w:t xml:space="preserve">s with the legislative approach </w:t>
      </w:r>
      <w:r w:rsidR="007124D1">
        <w:t xml:space="preserve">taken in response to COVID- 19 </w:t>
      </w:r>
      <w:r w:rsidR="00693F63">
        <w:t>were</w:t>
      </w:r>
      <w:r w:rsidR="00BD09F1">
        <w:t>:</w:t>
      </w:r>
      <w:r w:rsidR="007124D1">
        <w:t xml:space="preserve"> a)</w:t>
      </w:r>
      <w:r>
        <w:t xml:space="preserve"> it focused on the needs of designated bodies at the expense of the rights of requestors; </w:t>
      </w:r>
      <w:r w:rsidR="007124D1">
        <w:t xml:space="preserve">and b) </w:t>
      </w:r>
      <w:r>
        <w:t xml:space="preserve">no public interest test was included to prioritise FoI </w:t>
      </w:r>
      <w:r w:rsidRPr="00B55B91">
        <w:rPr>
          <w:color w:val="auto"/>
        </w:rPr>
        <w:t>Requests related to the coronavirus crisis</w:t>
      </w:r>
      <w:r>
        <w:t xml:space="preserve">.  </w:t>
      </w:r>
      <w:r w:rsidR="006A7DE0">
        <w:t xml:space="preserve">A law could have been introduced which </w:t>
      </w:r>
      <w:r w:rsidR="007124D1">
        <w:t xml:space="preserve">reflected </w:t>
      </w:r>
      <w:r w:rsidR="006A7DE0">
        <w:t>a proportionate response</w:t>
      </w:r>
      <w:r w:rsidR="007124D1">
        <w:t>. S</w:t>
      </w:r>
      <w:r>
        <w:t xml:space="preserve">ome delays </w:t>
      </w:r>
      <w:r w:rsidR="00977BD6">
        <w:t>in answering FoI request</w:t>
      </w:r>
      <w:r w:rsidR="007124D1">
        <w:t xml:space="preserve">s during lockdown </w:t>
      </w:r>
      <w:r w:rsidR="004D6990">
        <w:lastRenderedPageBreak/>
        <w:t>c</w:t>
      </w:r>
      <w:r w:rsidR="007124D1">
        <w:t>ould be caused</w:t>
      </w:r>
      <w:r w:rsidR="00977BD6">
        <w:t xml:space="preserve"> </w:t>
      </w:r>
      <w:r>
        <w:t xml:space="preserve">for </w:t>
      </w:r>
      <w:r w:rsidR="007124D1">
        <w:rPr>
          <w:color w:val="auto"/>
        </w:rPr>
        <w:t>understandable</w:t>
      </w:r>
      <w:r w:rsidR="007124D1" w:rsidRPr="00B55B91">
        <w:rPr>
          <w:color w:val="auto"/>
        </w:rPr>
        <w:t xml:space="preserve"> </w:t>
      </w:r>
      <w:r w:rsidRPr="00B55B91">
        <w:rPr>
          <w:color w:val="auto"/>
        </w:rPr>
        <w:t>reason</w:t>
      </w:r>
      <w:r w:rsidR="007124D1">
        <w:rPr>
          <w:color w:val="auto"/>
        </w:rPr>
        <w:t>s,</w:t>
      </w:r>
      <w:r w:rsidRPr="00B55B91">
        <w:rPr>
          <w:color w:val="auto"/>
        </w:rPr>
        <w:t xml:space="preserve"> </w:t>
      </w:r>
      <w:r>
        <w:rPr>
          <w:color w:val="auto"/>
        </w:rPr>
        <w:t>such as</w:t>
      </w:r>
      <w:r w:rsidR="00847497">
        <w:rPr>
          <w:color w:val="auto"/>
        </w:rPr>
        <w:t xml:space="preserve"> having to</w:t>
      </w:r>
      <w:r>
        <w:rPr>
          <w:color w:val="auto"/>
        </w:rPr>
        <w:t xml:space="preserve"> physically access the information from a closed</w:t>
      </w:r>
      <w:r>
        <w:t xml:space="preserve"> public office</w:t>
      </w:r>
      <w:r w:rsidR="00E16BD9">
        <w:t xml:space="preserve">.  </w:t>
      </w:r>
    </w:p>
    <w:p w14:paraId="19598879" w14:textId="3767539A" w:rsidR="00977BD6" w:rsidRDefault="00581E20" w:rsidP="002E4103">
      <w:pPr>
        <w:spacing w:before="100" w:beforeAutospacing="1" w:after="100" w:afterAutospacing="1"/>
      </w:pPr>
      <w:r>
        <w:t>S</w:t>
      </w:r>
      <w:r w:rsidR="00977BD6">
        <w:t>ome Non-Governmental Organisations (NGOs)</w:t>
      </w:r>
      <w:r w:rsidR="006A7DE0">
        <w:t xml:space="preserve"> </w:t>
      </w:r>
      <w:r>
        <w:t xml:space="preserve">haver reported </w:t>
      </w:r>
      <w:r w:rsidR="006A7DE0">
        <w:t>that they were</w:t>
      </w:r>
      <w:r w:rsidR="00977BD6">
        <w:t xml:space="preserve"> consulted </w:t>
      </w:r>
      <w:r w:rsidR="006A7DE0">
        <w:t xml:space="preserve">on various measures </w:t>
      </w:r>
      <w:r w:rsidR="00977BD6">
        <w:t xml:space="preserve">prior to the </w:t>
      </w:r>
      <w:r>
        <w:t xml:space="preserve">first </w:t>
      </w:r>
      <w:r w:rsidR="00977BD6">
        <w:t>Bill being published</w:t>
      </w:r>
      <w:r>
        <w:t xml:space="preserve">.  </w:t>
      </w:r>
      <w:r w:rsidR="00977BD6">
        <w:t>CFoIS wishes to confirm that it was not</w:t>
      </w:r>
      <w:r w:rsidR="006A7DE0">
        <w:t xml:space="preserve"> </w:t>
      </w:r>
      <w:r w:rsidR="00977BD6">
        <w:t>consulted</w:t>
      </w:r>
      <w:r w:rsidR="006A7DE0">
        <w:t xml:space="preserve">.  This was unfortunate as we would have been delighted to lend our expertise to address the issues. Consultation was a reasonable expectation as CFoIS </w:t>
      </w:r>
      <w:r w:rsidR="007124D1">
        <w:t xml:space="preserve">is the organiser of </w:t>
      </w:r>
      <w:r w:rsidR="00977BD6">
        <w:t>the Scottish Public Information Forum</w:t>
      </w:r>
      <w:r w:rsidR="00C37B39">
        <w:t xml:space="preserve"> </w:t>
      </w:r>
      <w:r w:rsidR="007124D1">
        <w:t>(</w:t>
      </w:r>
      <w:r w:rsidR="00C37B39">
        <w:t>SPIF)</w:t>
      </w:r>
      <w:r w:rsidR="007124D1">
        <w:t xml:space="preserve">, </w:t>
      </w:r>
      <w:r w:rsidR="00C37B39">
        <w:t xml:space="preserve">to </w:t>
      </w:r>
      <w:r w:rsidR="00977BD6">
        <w:t xml:space="preserve">which the Scottish Government </w:t>
      </w:r>
      <w:r w:rsidR="007124D1">
        <w:t>regularly contributes. Furthermore,</w:t>
      </w:r>
      <w:r w:rsidR="00977BD6">
        <w:t xml:space="preserve"> </w:t>
      </w:r>
      <w:r w:rsidR="00C37B39">
        <w:t xml:space="preserve">SPIF is referred to in the Scottish Government’s six FoI principles </w:t>
      </w:r>
      <w:r w:rsidR="002A04EA">
        <w:t>as</w:t>
      </w:r>
      <w:r w:rsidR="00C37B39">
        <w:t xml:space="preserve"> being a mechanism of engagement with stakeholders. </w:t>
      </w:r>
    </w:p>
    <w:p w14:paraId="526A4F02" w14:textId="071D5453" w:rsidR="00CD430B" w:rsidRDefault="00CD430B" w:rsidP="00CD430B">
      <w:pPr>
        <w:pStyle w:val="NormalWeb"/>
        <w:shd w:val="clear" w:color="auto" w:fill="FFFFFF"/>
        <w:spacing w:before="0" w:beforeAutospacing="0" w:after="0" w:afterAutospacing="0"/>
        <w:rPr>
          <w:rFonts w:ascii="Arial" w:hAnsi="Arial" w:cs="Arial"/>
          <w:color w:val="000000"/>
        </w:rPr>
      </w:pPr>
      <w:r w:rsidRPr="00CD430B">
        <w:rPr>
          <w:rFonts w:ascii="Arial" w:hAnsi="Arial" w:cs="Arial"/>
          <w:color w:val="000000"/>
        </w:rPr>
        <w:t>The </w:t>
      </w:r>
      <w:hyperlink r:id="rId9" w:history="1">
        <w:r w:rsidRPr="00CD430B">
          <w:rPr>
            <w:rStyle w:val="Strong"/>
            <w:rFonts w:ascii="Arial" w:hAnsi="Arial" w:cs="Arial"/>
            <w:color w:val="016C72"/>
            <w:u w:val="single"/>
          </w:rPr>
          <w:t>Coronavirus (Extension and Expiry) (Scotland) Bill</w:t>
        </w:r>
      </w:hyperlink>
      <w:r w:rsidRPr="00CD430B">
        <w:rPr>
          <w:rFonts w:ascii="Arial" w:hAnsi="Arial" w:cs="Arial"/>
          <w:color w:val="000000"/>
        </w:rPr>
        <w:t xml:space="preserve"> has been passed by the Scottish Parliament. </w:t>
      </w:r>
      <w:r w:rsidR="00653B47">
        <w:rPr>
          <w:rFonts w:ascii="Arial" w:hAnsi="Arial" w:cs="Arial"/>
          <w:color w:val="000000"/>
        </w:rPr>
        <w:t>The Act</w:t>
      </w:r>
      <w:r w:rsidRPr="00CD430B">
        <w:rPr>
          <w:rFonts w:ascii="Arial" w:hAnsi="Arial" w:cs="Arial"/>
          <w:color w:val="000000"/>
        </w:rPr>
        <w:t xml:space="preserve"> extends some of the provisions of the Coronavirus Acts and </w:t>
      </w:r>
      <w:r w:rsidR="00653B47">
        <w:rPr>
          <w:rFonts w:ascii="Arial" w:hAnsi="Arial" w:cs="Arial"/>
          <w:color w:val="000000"/>
        </w:rPr>
        <w:t>provides</w:t>
      </w:r>
      <w:r w:rsidRPr="00CD430B">
        <w:rPr>
          <w:rFonts w:ascii="Arial" w:hAnsi="Arial" w:cs="Arial"/>
          <w:color w:val="000000"/>
        </w:rPr>
        <w:t xml:space="preserve"> </w:t>
      </w:r>
      <w:r w:rsidR="00653B47">
        <w:rPr>
          <w:rFonts w:ascii="Arial" w:hAnsi="Arial" w:cs="Arial"/>
          <w:color w:val="000000"/>
        </w:rPr>
        <w:t xml:space="preserve">that </w:t>
      </w:r>
      <w:r w:rsidRPr="00CD430B">
        <w:rPr>
          <w:rFonts w:ascii="Arial" w:hAnsi="Arial" w:cs="Arial"/>
          <w:color w:val="000000"/>
        </w:rPr>
        <w:t>the remaining provisions will expire on 30</w:t>
      </w:r>
      <w:r w:rsidR="00653B47">
        <w:rPr>
          <w:rFonts w:ascii="Arial" w:hAnsi="Arial" w:cs="Arial"/>
          <w:color w:val="000000"/>
        </w:rPr>
        <w:t>th</w:t>
      </w:r>
      <w:r w:rsidRPr="00CD430B">
        <w:rPr>
          <w:rFonts w:ascii="Arial" w:hAnsi="Arial" w:cs="Arial"/>
          <w:color w:val="000000"/>
        </w:rPr>
        <w:t xml:space="preserve"> September 2021.</w:t>
      </w:r>
      <w:r w:rsidR="00653B47">
        <w:rPr>
          <w:rFonts w:ascii="Arial" w:hAnsi="Arial" w:cs="Arial"/>
          <w:color w:val="000000"/>
        </w:rPr>
        <w:t xml:space="preserve">  </w:t>
      </w:r>
    </w:p>
    <w:p w14:paraId="44E1BE95" w14:textId="174A1FC0" w:rsidR="00CD430B" w:rsidRPr="00CD430B" w:rsidRDefault="00CD430B" w:rsidP="00CD430B">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xml:space="preserve">Currently the SIC can consider the impact of COVID19 </w:t>
      </w:r>
      <w:r w:rsidRPr="00CD430B">
        <w:rPr>
          <w:rFonts w:ascii="Arial" w:hAnsi="Arial" w:cs="Arial"/>
          <w:color w:val="000000"/>
        </w:rPr>
        <w:t>when deciding if an authority failed to comply with FOI timescales</w:t>
      </w:r>
      <w:r>
        <w:rPr>
          <w:rFonts w:ascii="Arial" w:hAnsi="Arial" w:cs="Arial"/>
          <w:color w:val="000000"/>
        </w:rPr>
        <w:t xml:space="preserve">.  </w:t>
      </w:r>
      <w:r w:rsidRPr="00CD430B">
        <w:rPr>
          <w:rFonts w:ascii="Arial" w:hAnsi="Arial" w:cs="Arial"/>
          <w:color w:val="000000"/>
        </w:rPr>
        <w:t>In practice, this transitional approach means the impact of the pandemic may continue to be a relevant consideration in some decisions made by the Commissioner for some time</w:t>
      </w:r>
      <w:r>
        <w:rPr>
          <w:rFonts w:ascii="Arial" w:hAnsi="Arial" w:cs="Arial"/>
          <w:color w:val="000000"/>
        </w:rPr>
        <w:t xml:space="preserve">. </w:t>
      </w:r>
    </w:p>
    <w:p w14:paraId="7FED2DA9" w14:textId="77777777" w:rsidR="00CD430B" w:rsidRPr="00CD430B" w:rsidRDefault="00CD430B" w:rsidP="00CD430B"/>
    <w:p w14:paraId="484F2EE0" w14:textId="77777777" w:rsidR="00CD430B" w:rsidRPr="00653B47" w:rsidRDefault="00CD430B" w:rsidP="00CD430B">
      <w:pPr>
        <w:rPr>
          <w:u w:val="single"/>
        </w:rPr>
      </w:pPr>
      <w:r w:rsidRPr="00653B47">
        <w:rPr>
          <w:u w:val="single"/>
        </w:rPr>
        <w:t>Questions</w:t>
      </w:r>
    </w:p>
    <w:p w14:paraId="66D0C57E" w14:textId="5FF261B0" w:rsidR="002E4103" w:rsidRPr="00CD430B" w:rsidRDefault="00CD430B" w:rsidP="00CD430B">
      <w:r>
        <w:t xml:space="preserve">CFoIS is </w:t>
      </w:r>
      <w:r w:rsidR="00653B47">
        <w:t>a</w:t>
      </w:r>
      <w:r w:rsidR="002A04EA" w:rsidRPr="00CD430B">
        <w:t xml:space="preserve">ware of </w:t>
      </w:r>
      <w:r>
        <w:t xml:space="preserve">many questions people have and information </w:t>
      </w:r>
      <w:r w:rsidR="00653B47">
        <w:t xml:space="preserve">they seek to </w:t>
      </w:r>
      <w:r>
        <w:t xml:space="preserve">assist them to form </w:t>
      </w:r>
      <w:r w:rsidR="00403EF6" w:rsidRPr="00CD430B">
        <w:t>an opinion on what happened in the past, how that impact</w:t>
      </w:r>
      <w:r w:rsidR="006A7DE0" w:rsidRPr="00CD430B">
        <w:t>s</w:t>
      </w:r>
      <w:r w:rsidR="00403EF6" w:rsidRPr="00CD430B">
        <w:t xml:space="preserve"> on the present and </w:t>
      </w:r>
      <w:r w:rsidR="007124D1" w:rsidRPr="00CD430B">
        <w:t>what lessons we can take forward</w:t>
      </w:r>
      <w:r w:rsidR="002A04EA" w:rsidRPr="00CD430B">
        <w:t>:</w:t>
      </w:r>
    </w:p>
    <w:p w14:paraId="72355CB8" w14:textId="3F17F2B9" w:rsidR="002E4103" w:rsidRPr="00CD430B" w:rsidRDefault="002E4103" w:rsidP="00CD430B">
      <w:pPr>
        <w:pStyle w:val="ListParagraph"/>
        <w:numPr>
          <w:ilvl w:val="0"/>
          <w:numId w:val="24"/>
        </w:numPr>
        <w:rPr>
          <w:color w:val="auto"/>
        </w:rPr>
      </w:pPr>
      <w:r w:rsidRPr="00CD430B">
        <w:rPr>
          <w:color w:val="333333"/>
          <w:shd w:val="clear" w:color="auto" w:fill="FFFFFF"/>
        </w:rPr>
        <w:t xml:space="preserve">The </w:t>
      </w:r>
      <w:r w:rsidRPr="00CD430B">
        <w:rPr>
          <w:color w:val="auto"/>
          <w:shd w:val="clear" w:color="auto" w:fill="FFFFFF"/>
        </w:rPr>
        <w:t>impact of ‘Exercise Iris’, the table-top exercise held in March 2018 to assess NHS Scotland’s response to a suspected outbreak of MERS-CoV,</w:t>
      </w:r>
      <w:r w:rsidRPr="00CD430B">
        <w:rPr>
          <w:rStyle w:val="FootnoteReference"/>
          <w:color w:val="auto"/>
          <w:shd w:val="clear" w:color="auto" w:fill="FFFFFF"/>
        </w:rPr>
        <w:footnoteReference w:id="4"/>
      </w:r>
    </w:p>
    <w:p w14:paraId="0432F8E8" w14:textId="77777777" w:rsidR="002E4103" w:rsidRPr="00CD430B" w:rsidRDefault="002E4103" w:rsidP="00CD430B">
      <w:pPr>
        <w:pStyle w:val="ListParagraph"/>
        <w:numPr>
          <w:ilvl w:val="0"/>
          <w:numId w:val="24"/>
        </w:numPr>
        <w:rPr>
          <w:color w:val="auto"/>
        </w:rPr>
      </w:pPr>
      <w:r w:rsidRPr="00CD430B">
        <w:rPr>
          <w:color w:val="auto"/>
        </w:rPr>
        <w:t>What decisions were made about preparedness for a pandemic that health professionals and academics had warned was ‘overdue’.</w:t>
      </w:r>
    </w:p>
    <w:p w14:paraId="32838BB6" w14:textId="77777777" w:rsidR="002E4103" w:rsidRPr="00CD430B" w:rsidRDefault="002E4103" w:rsidP="00CD430B">
      <w:pPr>
        <w:pStyle w:val="ListParagraph"/>
        <w:numPr>
          <w:ilvl w:val="0"/>
          <w:numId w:val="24"/>
        </w:numPr>
        <w:rPr>
          <w:color w:val="auto"/>
        </w:rPr>
      </w:pPr>
      <w:r w:rsidRPr="00CD430B">
        <w:rPr>
          <w:color w:val="auto"/>
        </w:rPr>
        <w:t>About the provision of PPE and strategies to secure it since December 2019</w:t>
      </w:r>
    </w:p>
    <w:p w14:paraId="7B939E21" w14:textId="123EFAA5" w:rsidR="002E4103" w:rsidRPr="00CD430B" w:rsidRDefault="002E4103" w:rsidP="00CD430B">
      <w:pPr>
        <w:pStyle w:val="ListParagraph"/>
        <w:numPr>
          <w:ilvl w:val="0"/>
          <w:numId w:val="24"/>
        </w:numPr>
      </w:pPr>
      <w:r w:rsidRPr="00CD430B">
        <w:rPr>
          <w:color w:val="auto"/>
        </w:rPr>
        <w:t>How were decisions made to purchase care home places and release patients into care homes</w:t>
      </w:r>
      <w:r w:rsidR="006A7DE0" w:rsidRPr="00CD430B">
        <w:rPr>
          <w:color w:val="auto"/>
        </w:rPr>
        <w:t xml:space="preserve"> without testing</w:t>
      </w:r>
      <w:r w:rsidRPr="00CD430B">
        <w:rPr>
          <w:color w:val="auto"/>
        </w:rPr>
        <w:t xml:space="preserve"> from </w:t>
      </w:r>
      <w:r w:rsidR="00745F47" w:rsidRPr="00CD430B">
        <w:rPr>
          <w:color w:val="auto"/>
        </w:rPr>
        <w:t>December 2019</w:t>
      </w:r>
      <w:r w:rsidRPr="00CD430B">
        <w:rPr>
          <w:color w:val="auto"/>
        </w:rPr>
        <w:t xml:space="preserve"> </w:t>
      </w:r>
      <w:r w:rsidRPr="00CD430B">
        <w:t>– May 2020</w:t>
      </w:r>
      <w:r w:rsidR="006A7DE0" w:rsidRPr="00CD430B">
        <w:t>?</w:t>
      </w:r>
    </w:p>
    <w:p w14:paraId="69265019" w14:textId="4D5855A6" w:rsidR="002E4103" w:rsidRPr="00CD430B" w:rsidRDefault="00A751E9" w:rsidP="00CD430B">
      <w:pPr>
        <w:pStyle w:val="ListParagraph"/>
        <w:numPr>
          <w:ilvl w:val="0"/>
          <w:numId w:val="24"/>
        </w:numPr>
      </w:pPr>
      <w:r w:rsidRPr="00CD430B">
        <w:t>When and w</w:t>
      </w:r>
      <w:r w:rsidR="002E4103" w:rsidRPr="00CD430B">
        <w:t xml:space="preserve">hat steps were taken to ensure staff in the NHS and </w:t>
      </w:r>
      <w:r w:rsidR="00E667F0" w:rsidRPr="00CD430B">
        <w:t xml:space="preserve">in </w:t>
      </w:r>
      <w:r w:rsidR="002E4103" w:rsidRPr="00CD430B">
        <w:t>care homes were tested</w:t>
      </w:r>
      <w:r w:rsidR="006A7DE0" w:rsidRPr="00CD430B">
        <w:t>?</w:t>
      </w:r>
    </w:p>
    <w:p w14:paraId="7DDBAF83" w14:textId="31EF2668" w:rsidR="002E4103" w:rsidRPr="00CD430B" w:rsidRDefault="002E4103" w:rsidP="00CD430B">
      <w:pPr>
        <w:pStyle w:val="ListParagraph"/>
        <w:numPr>
          <w:ilvl w:val="0"/>
          <w:numId w:val="24"/>
        </w:numPr>
      </w:pPr>
      <w:r w:rsidRPr="00CD430B">
        <w:t>What guidance was issued and by whom on managing the impact of the pandemic</w:t>
      </w:r>
      <w:r w:rsidR="006A7DE0" w:rsidRPr="00CD430B">
        <w:t xml:space="preserve"> in care settings?</w:t>
      </w:r>
    </w:p>
    <w:p w14:paraId="6FE92C06" w14:textId="4927E10E" w:rsidR="002E4103" w:rsidRPr="00CD430B" w:rsidRDefault="002E4103" w:rsidP="00CD430B">
      <w:pPr>
        <w:pStyle w:val="ListParagraph"/>
        <w:numPr>
          <w:ilvl w:val="0"/>
          <w:numId w:val="24"/>
        </w:numPr>
      </w:pPr>
      <w:r w:rsidRPr="00CD430B">
        <w:t>Has there been guidance issue</w:t>
      </w:r>
      <w:r w:rsidR="006A7DE0" w:rsidRPr="00CD430B">
        <w:t>d</w:t>
      </w:r>
      <w:r w:rsidRPr="00CD430B">
        <w:t xml:space="preserve"> on the inspection of education standards during lockdown?</w:t>
      </w:r>
    </w:p>
    <w:p w14:paraId="5F4AD0B3" w14:textId="496F22AD" w:rsidR="002E4103" w:rsidRPr="00CD430B" w:rsidRDefault="002E4103" w:rsidP="00CD430B">
      <w:pPr>
        <w:pStyle w:val="ListParagraph"/>
        <w:numPr>
          <w:ilvl w:val="0"/>
          <w:numId w:val="24"/>
        </w:numPr>
      </w:pPr>
      <w:r w:rsidRPr="00CD430B">
        <w:t>What role did the Integrated Joint Boards</w:t>
      </w:r>
      <w:r w:rsidR="006A7DE0" w:rsidRPr="00CD430B">
        <w:rPr>
          <w:rStyle w:val="FootnoteReference"/>
        </w:rPr>
        <w:footnoteReference w:id="5"/>
      </w:r>
      <w:r w:rsidRPr="00CD430B">
        <w:t xml:space="preserve"> play in designing Scotland’s response to COVID-19?</w:t>
      </w:r>
    </w:p>
    <w:p w14:paraId="4E31B78F" w14:textId="77777777" w:rsidR="00CD430B" w:rsidRDefault="00CD430B" w:rsidP="00CD430B"/>
    <w:p w14:paraId="03A767F9" w14:textId="0E0F1E2E" w:rsidR="004B3C4E" w:rsidRDefault="002E4103" w:rsidP="00E53F17">
      <w:r w:rsidRPr="00CD430B">
        <w:rPr>
          <w:color w:val="auto"/>
        </w:rPr>
        <w:t>S</w:t>
      </w:r>
      <w:r w:rsidRPr="00CD430B">
        <w:rPr>
          <w:rStyle w:val="Strong"/>
          <w:b w:val="0"/>
          <w:bCs w:val="0"/>
          <w:color w:val="auto"/>
        </w:rPr>
        <w:t>cotland</w:t>
      </w:r>
      <w:r w:rsidRPr="00CD430B">
        <w:rPr>
          <w:color w:val="auto"/>
          <w:shd w:val="clear" w:color="auto" w:fill="FFFFFF"/>
        </w:rPr>
        <w:t xml:space="preserve"> must </w:t>
      </w:r>
      <w:r w:rsidR="007124D1" w:rsidRPr="00CD430B">
        <w:rPr>
          <w:color w:val="auto"/>
          <w:shd w:val="clear" w:color="auto" w:fill="FFFFFF"/>
        </w:rPr>
        <w:t xml:space="preserve">ensure it is </w:t>
      </w:r>
      <w:r w:rsidRPr="00CD430B">
        <w:rPr>
          <w:color w:val="auto"/>
          <w:shd w:val="clear" w:color="auto" w:fill="FFFFFF"/>
        </w:rPr>
        <w:t xml:space="preserve">better prepared for </w:t>
      </w:r>
      <w:r w:rsidR="00CD430B">
        <w:rPr>
          <w:color w:val="auto"/>
          <w:shd w:val="clear" w:color="auto" w:fill="FFFFFF"/>
        </w:rPr>
        <w:t>a future pandemic as well as managing the current one</w:t>
      </w:r>
      <w:r w:rsidRPr="00CD430B">
        <w:rPr>
          <w:rStyle w:val="Strong"/>
          <w:b w:val="0"/>
          <w:bCs w:val="0"/>
          <w:color w:val="auto"/>
        </w:rPr>
        <w:t>.</w:t>
      </w:r>
      <w:r w:rsidRPr="00CD430B">
        <w:rPr>
          <w:rStyle w:val="Strong"/>
          <w:color w:val="auto"/>
        </w:rPr>
        <w:t xml:space="preserve"> </w:t>
      </w:r>
      <w:r w:rsidRPr="00CD430B">
        <w:t xml:space="preserve"> </w:t>
      </w:r>
      <w:r w:rsidR="00653B47">
        <w:t xml:space="preserve">In that regard the extension of FoISA is key.    </w:t>
      </w:r>
      <w:r w:rsidR="009C7488" w:rsidRPr="0046295F">
        <w:rPr>
          <w:color w:val="auto"/>
        </w:rPr>
        <w:t>FoISA</w:t>
      </w:r>
      <w:r w:rsidR="00EB1988" w:rsidRPr="0046295F">
        <w:rPr>
          <w:color w:val="auto"/>
        </w:rPr>
        <w:t xml:space="preserve"> </w:t>
      </w:r>
      <w:r w:rsidR="00C61286">
        <w:rPr>
          <w:color w:val="auto"/>
        </w:rPr>
        <w:t xml:space="preserve">allows the Scottish Government to </w:t>
      </w:r>
      <w:r w:rsidR="00EB1988" w:rsidRPr="0046295F">
        <w:rPr>
          <w:color w:val="auto"/>
        </w:rPr>
        <w:t xml:space="preserve">extend </w:t>
      </w:r>
      <w:r w:rsidR="0046295F">
        <w:rPr>
          <w:color w:val="auto"/>
        </w:rPr>
        <w:t>the number</w:t>
      </w:r>
      <w:r w:rsidR="00EB1988" w:rsidRPr="0046295F">
        <w:rPr>
          <w:color w:val="auto"/>
        </w:rPr>
        <w:t xml:space="preserve"> of bodies </w:t>
      </w:r>
      <w:r w:rsidR="00C61286">
        <w:rPr>
          <w:color w:val="auto"/>
        </w:rPr>
        <w:t xml:space="preserve">designated eg </w:t>
      </w:r>
      <w:r w:rsidR="0046295F">
        <w:rPr>
          <w:color w:val="auto"/>
        </w:rPr>
        <w:t>to keep up with changes in how publicly funded services are delivered.</w:t>
      </w:r>
      <w:r w:rsidR="00EB1988" w:rsidRPr="0046295F">
        <w:rPr>
          <w:color w:val="auto"/>
        </w:rPr>
        <w:t xml:space="preserve">  </w:t>
      </w:r>
      <w:r w:rsidR="00C61286">
        <w:rPr>
          <w:color w:val="auto"/>
        </w:rPr>
        <w:t xml:space="preserve">It </w:t>
      </w:r>
      <w:r w:rsidR="00EB1988" w:rsidRPr="0046295F">
        <w:rPr>
          <w:color w:val="auto"/>
        </w:rPr>
        <w:t>has already consulted on</w:t>
      </w:r>
      <w:r w:rsidR="009C7488" w:rsidRPr="0046295F">
        <w:rPr>
          <w:color w:val="auto"/>
        </w:rPr>
        <w:t xml:space="preserve"> </w:t>
      </w:r>
      <w:r w:rsidR="009C7488" w:rsidRPr="0046295F">
        <w:rPr>
          <w:color w:val="auto"/>
          <w:shd w:val="clear" w:color="auto" w:fill="FFFFFF"/>
        </w:rPr>
        <w:t xml:space="preserve">the potential for extension to organisations which exercise functions of a public nature such as private care homes funded by public money and Third Sector </w:t>
      </w:r>
      <w:r w:rsidR="009C7488" w:rsidRPr="0046295F">
        <w:rPr>
          <w:color w:val="auto"/>
          <w:shd w:val="clear" w:color="auto" w:fill="FFFFFF"/>
        </w:rPr>
        <w:lastRenderedPageBreak/>
        <w:t>organisations.</w:t>
      </w:r>
      <w:r w:rsidR="009C7488" w:rsidRPr="0046295F">
        <w:rPr>
          <w:rStyle w:val="FootnoteReference"/>
          <w:color w:val="auto"/>
          <w:shd w:val="clear" w:color="auto" w:fill="FFFFFF"/>
        </w:rPr>
        <w:footnoteReference w:id="6"/>
      </w:r>
      <w:r w:rsidR="00EB1988" w:rsidRPr="0046295F">
        <w:rPr>
          <w:color w:val="auto"/>
        </w:rPr>
        <w:t xml:space="preserve"> </w:t>
      </w:r>
      <w:r w:rsidR="00653B47">
        <w:rPr>
          <w:color w:val="auto"/>
        </w:rPr>
        <w:t>The Inquiry should not delay such legal changes to FoISA which should proceed at speed.</w:t>
      </w:r>
    </w:p>
    <w:p w14:paraId="484C771A" w14:textId="77777777" w:rsidR="004B3C4E" w:rsidRDefault="004B3C4E" w:rsidP="004B3C4E"/>
    <w:p w14:paraId="56A7058D" w14:textId="77777777" w:rsidR="003E55AE" w:rsidRPr="00AB30FD" w:rsidRDefault="003E55AE" w:rsidP="00653B47">
      <w:pPr>
        <w:rPr>
          <w:b/>
          <w:bCs/>
        </w:rPr>
      </w:pPr>
      <w:r w:rsidRPr="00AB30FD">
        <w:rPr>
          <w:b/>
          <w:bCs/>
        </w:rPr>
        <w:t xml:space="preserve">Inclusive Process  </w:t>
      </w:r>
    </w:p>
    <w:p w14:paraId="608CDA85" w14:textId="77777777" w:rsidR="003E55AE" w:rsidRPr="00164BF8" w:rsidRDefault="003E55AE" w:rsidP="00AB30FD">
      <w:pPr>
        <w:pStyle w:val="ListParagraph"/>
        <w:numPr>
          <w:ilvl w:val="0"/>
          <w:numId w:val="21"/>
        </w:numPr>
      </w:pPr>
      <w:r w:rsidRPr="003E55AE">
        <w:rPr>
          <w:lang w:eastAsia="en-GB"/>
        </w:rPr>
        <w:t>The Inquiry be designed to ensure people are at the centre and voices are heard?</w:t>
      </w:r>
    </w:p>
    <w:p w14:paraId="459DBE2F" w14:textId="77777777" w:rsidR="00AB30FD" w:rsidRDefault="00AB30FD" w:rsidP="00AB30FD">
      <w:pPr>
        <w:pStyle w:val="ListParagraph"/>
        <w:spacing w:before="100" w:beforeAutospacing="1" w:after="100" w:afterAutospacing="1"/>
      </w:pPr>
    </w:p>
    <w:p w14:paraId="2EC817C1" w14:textId="033E6B0A" w:rsidR="00AB30FD" w:rsidRDefault="00AB30FD" w:rsidP="00AB30FD">
      <w:pPr>
        <w:pStyle w:val="ListParagraph"/>
        <w:spacing w:before="100" w:beforeAutospacing="1" w:after="100" w:afterAutospacing="1"/>
      </w:pPr>
      <w:r>
        <w:t>CFoIS welcomes the provision in t</w:t>
      </w:r>
      <w:r w:rsidRPr="002E4103">
        <w:t xml:space="preserve">he Coronavirus (Scotland) No 2 </w:t>
      </w:r>
      <w:r>
        <w:t>Act on mainstreaming ‘inclusive communication’</w:t>
      </w:r>
      <w:r>
        <w:rPr>
          <w:rStyle w:val="FootnoteReference"/>
        </w:rPr>
        <w:footnoteReference w:id="7"/>
      </w:r>
      <w:r>
        <w:t xml:space="preserve"> which can be delivered with the help of the Inclusive Communication Hub funded by the Scottish Government.</w:t>
      </w:r>
      <w:r w:rsidR="00581E20">
        <w:t xml:space="preserve">  I</w:t>
      </w:r>
      <w:r w:rsidR="00581E20">
        <w:t>nclu</w:t>
      </w:r>
      <w:r w:rsidR="00581E20">
        <w:t>s</w:t>
      </w:r>
      <w:r w:rsidR="00581E20">
        <w:t xml:space="preserve">ive communication </w:t>
      </w:r>
      <w:r w:rsidR="00581E20">
        <w:t xml:space="preserve">needs to be </w:t>
      </w:r>
      <w:r w:rsidR="00581E20">
        <w:t>integ</w:t>
      </w:r>
      <w:r w:rsidR="00581E20">
        <w:t xml:space="preserve">rated into the design and delivery of this consultation.  </w:t>
      </w:r>
    </w:p>
    <w:p w14:paraId="0C9D1D5A" w14:textId="027BBA74" w:rsidR="00581E20" w:rsidRDefault="00581E20" w:rsidP="00AB30FD">
      <w:pPr>
        <w:pStyle w:val="ListParagraph"/>
        <w:spacing w:before="100" w:beforeAutospacing="1" w:after="100" w:afterAutospacing="1"/>
      </w:pPr>
    </w:p>
    <w:p w14:paraId="5FAC9373" w14:textId="1F1C00F8" w:rsidR="00581E20" w:rsidRPr="00AB30FD" w:rsidRDefault="00581E20" w:rsidP="00AB30FD">
      <w:pPr>
        <w:pStyle w:val="ListParagraph"/>
        <w:spacing w:before="100" w:beforeAutospacing="1" w:after="100" w:afterAutospacing="1"/>
        <w:rPr>
          <w:rFonts w:eastAsia="Times New Roman"/>
          <w:lang w:eastAsia="en-GB"/>
        </w:rPr>
      </w:pPr>
      <w:r>
        <w:t>The adoption of the ‘digital first’ approach, needs to be rolled out inclusively which means addressing equipment, connectivity and skills deficits.</w:t>
      </w:r>
    </w:p>
    <w:p w14:paraId="7696DABF" w14:textId="6828E0A1" w:rsidR="00164BF8" w:rsidRPr="00581E20" w:rsidRDefault="00581E20" w:rsidP="00846349">
      <w:pPr>
        <w:rPr>
          <w:b/>
          <w:bCs/>
        </w:rPr>
      </w:pPr>
      <w:r w:rsidRPr="00581E20">
        <w:rPr>
          <w:b/>
          <w:bCs/>
        </w:rPr>
        <w:t>Other Comments</w:t>
      </w:r>
    </w:p>
    <w:p w14:paraId="7690E4E2" w14:textId="77777777" w:rsidR="00164BF8" w:rsidRPr="00581E20" w:rsidRDefault="00164BF8" w:rsidP="00581E20">
      <w:pPr>
        <w:pStyle w:val="ListParagraph"/>
        <w:numPr>
          <w:ilvl w:val="0"/>
          <w:numId w:val="22"/>
        </w:numPr>
      </w:pPr>
      <w:r w:rsidRPr="00581E20">
        <w:t>Do you have any other comments about the design of the COVID-19 Public Inquiry?</w:t>
      </w:r>
    </w:p>
    <w:p w14:paraId="3791FC82" w14:textId="06ACF872" w:rsidR="00164BF8" w:rsidRDefault="00164BF8" w:rsidP="00581E20">
      <w:pPr>
        <w:ind w:left="720"/>
        <w:rPr>
          <w:b/>
          <w:bCs/>
        </w:rPr>
      </w:pPr>
    </w:p>
    <w:p w14:paraId="34C3E9F5" w14:textId="47CB4443" w:rsidR="00581E20" w:rsidRPr="00581E20" w:rsidRDefault="00581E20" w:rsidP="00581E20">
      <w:pPr>
        <w:ind w:left="720"/>
      </w:pPr>
      <w:r w:rsidRPr="00581E20">
        <w:t>The inquiry should be open, transparent and ensure accountability.</w:t>
      </w:r>
    </w:p>
    <w:p w14:paraId="42ECA7CB" w14:textId="17A82902" w:rsidR="00581E20" w:rsidRDefault="00581E20" w:rsidP="00653B47">
      <w:pPr>
        <w:rPr>
          <w:b/>
          <w:bCs/>
        </w:rPr>
      </w:pPr>
    </w:p>
    <w:p w14:paraId="3022EAA5" w14:textId="77777777" w:rsidR="00653B47" w:rsidRPr="000924B7" w:rsidRDefault="00653B47" w:rsidP="00653B47">
      <w:pPr>
        <w:rPr>
          <w:b/>
          <w:bCs/>
        </w:rPr>
      </w:pPr>
      <w:r w:rsidRPr="000924B7">
        <w:rPr>
          <w:b/>
          <w:bCs/>
        </w:rPr>
        <w:t>Conclusion</w:t>
      </w:r>
    </w:p>
    <w:p w14:paraId="640853F9" w14:textId="77777777" w:rsidR="00841EE1" w:rsidRDefault="00841EE1" w:rsidP="00653B47">
      <w:r w:rsidRPr="00D76D9D">
        <w:t xml:space="preserve">28th September as the annual International Day for Universal Access to Information (IDUAI). </w:t>
      </w:r>
      <w:r>
        <w:t xml:space="preserve">UNESCO’s </w:t>
      </w:r>
      <w:r w:rsidRPr="00D76D9D">
        <w:t xml:space="preserve">theme </w:t>
      </w:r>
      <w:r>
        <w:t>for</w:t>
      </w:r>
      <w:r w:rsidRPr="00D76D9D">
        <w:t xml:space="preserve"> 2021 </w:t>
      </w:r>
      <w:r>
        <w:t>is to</w:t>
      </w:r>
      <w:r w:rsidRPr="00D76D9D">
        <w:t xml:space="preserve"> highlight the role of access to information laws and their implementation to </w:t>
      </w:r>
      <w:r>
        <w:t>‘</w:t>
      </w:r>
      <w:r w:rsidRPr="00D76D9D">
        <w:t>build back strong institutions for the public good and sustainable development, as well as to strengthen the right to information and international cooperation in the field of implementing this human right.</w:t>
      </w:r>
      <w:r>
        <w:t>’</w:t>
      </w:r>
      <w:r>
        <w:rPr>
          <w:rStyle w:val="FootnoteReference"/>
        </w:rPr>
        <w:footnoteReference w:id="8"/>
      </w:r>
      <w:r>
        <w:t xml:space="preserve"> </w:t>
      </w:r>
    </w:p>
    <w:p w14:paraId="0F48D526" w14:textId="77777777" w:rsidR="00841EE1" w:rsidRDefault="00841EE1" w:rsidP="00653B47"/>
    <w:p w14:paraId="4690952E" w14:textId="5D6FA038" w:rsidR="00653B47" w:rsidRPr="002E4103" w:rsidRDefault="00653B47" w:rsidP="00653B47">
      <w:pPr>
        <w:rPr>
          <w:rFonts w:eastAsia="Times New Roman"/>
          <w:lang w:eastAsia="en-GB"/>
        </w:rPr>
      </w:pPr>
      <w:r>
        <w:t>During a national emergency, there needs to be continuity and certainty in the practice and enjoyment of rights</w:t>
      </w:r>
      <w:r w:rsidR="00841EE1">
        <w:t xml:space="preserve"> including under FoISA</w:t>
      </w:r>
      <w:r>
        <w:t xml:space="preserve">.   </w:t>
      </w:r>
      <w:r w:rsidR="00841EE1">
        <w:t>T</w:t>
      </w:r>
      <w:r>
        <w:t xml:space="preserve">he rights and duties within </w:t>
      </w:r>
      <w:r w:rsidRPr="004A43FA">
        <w:t>EIR(S)s)</w:t>
      </w:r>
      <w:r>
        <w:t xml:space="preserve"> remained throughout creating two tiers of information access rights</w:t>
      </w:r>
      <w:r w:rsidR="00061D7F">
        <w:t xml:space="preserve"> and duties</w:t>
      </w:r>
      <w:r>
        <w:t xml:space="preserve">.    </w:t>
      </w:r>
      <w:r w:rsidR="00841EE1">
        <w:t xml:space="preserve">The Inquiry will be key in delivering scrutiny and </w:t>
      </w:r>
      <w:r w:rsidR="00810F01">
        <w:t>planning</w:t>
      </w:r>
      <w:r w:rsidR="00841EE1">
        <w:t xml:space="preserve"> as envisioned by UNESCO.</w:t>
      </w:r>
    </w:p>
    <w:p w14:paraId="2939F96F" w14:textId="77777777" w:rsidR="00653B47" w:rsidRDefault="00653B47" w:rsidP="00653B47">
      <w:pPr>
        <w:rPr>
          <w:b/>
          <w:bCs/>
        </w:rPr>
      </w:pPr>
    </w:p>
    <w:p w14:paraId="24483452" w14:textId="1DD96204" w:rsidR="00D4264F" w:rsidRPr="00D4264F" w:rsidRDefault="00D4264F" w:rsidP="00846349">
      <w:pPr>
        <w:rPr>
          <w:b/>
          <w:bCs/>
        </w:rPr>
      </w:pPr>
      <w:r w:rsidRPr="00D4264F">
        <w:rPr>
          <w:b/>
          <w:bCs/>
        </w:rPr>
        <w:t>About CFoIS</w:t>
      </w:r>
    </w:p>
    <w:p w14:paraId="73ED6355" w14:textId="77777777" w:rsidR="003E55AE" w:rsidRDefault="00D4264F" w:rsidP="003E00BD">
      <w:pPr>
        <w:rPr>
          <w:shd w:val="clear" w:color="auto" w:fill="FFFFFF"/>
          <w:lang w:val="en-US"/>
        </w:rPr>
      </w:pPr>
      <w:r>
        <w:t xml:space="preserve">The Campaign for Freedom of Information in Scotland (CFoIS) was established in 1984 to improve public access to official information, to secure legal right to access information and to enforce that right.  The initiative came from the Scottish Consumer Council.  </w:t>
      </w:r>
      <w:r w:rsidR="008F4502">
        <w:t>W</w:t>
      </w:r>
      <w:r>
        <w:t>e believe in the right of people to find out about how they are governed and how their services are delivered</w:t>
      </w:r>
      <w:r w:rsidR="008F4502">
        <w:t>.</w:t>
      </w:r>
      <w:r w:rsidR="003E55AE">
        <w:t xml:space="preserve">   </w:t>
      </w:r>
      <w:r w:rsidR="003E55AE">
        <w:t>CFoIS is</w:t>
      </w:r>
      <w:r w:rsidR="003E55AE" w:rsidRPr="009D6C99">
        <w:rPr>
          <w:shd w:val="clear" w:color="auto" w:fill="FFFFFF"/>
          <w:lang w:val="en-US"/>
        </w:rPr>
        <w:t xml:space="preserve"> a Scottish Charitable Incorporated Organisation (SCIO)</w:t>
      </w:r>
      <w:r w:rsidR="003E55AE">
        <w:rPr>
          <w:shd w:val="clear" w:color="auto" w:fill="FFFFFF"/>
          <w:lang w:val="en-US"/>
        </w:rPr>
        <w:t xml:space="preserve"> no </w:t>
      </w:r>
      <w:r w:rsidR="003E55AE" w:rsidRPr="009D6C99">
        <w:rPr>
          <w:shd w:val="clear" w:color="auto" w:fill="FFFFFF"/>
          <w:lang w:val="en-US"/>
        </w:rPr>
        <w:t>SC051263.</w:t>
      </w:r>
      <w:r w:rsidR="003E55AE">
        <w:rPr>
          <w:shd w:val="clear" w:color="auto" w:fill="FFFFFF"/>
          <w:lang w:val="en-US"/>
        </w:rPr>
        <w:t xml:space="preserve"> </w:t>
      </w:r>
      <w:r w:rsidR="003E55AE" w:rsidRPr="009D6C99">
        <w:rPr>
          <w:shd w:val="clear" w:color="auto" w:fill="FFFFFF"/>
          <w:lang w:val="en-US"/>
        </w:rPr>
        <w:t xml:space="preserve"> </w:t>
      </w:r>
    </w:p>
    <w:p w14:paraId="69C1ED8B" w14:textId="77777777" w:rsidR="003E55AE" w:rsidRDefault="003E55AE" w:rsidP="003E00BD">
      <w:pPr>
        <w:rPr>
          <w:shd w:val="clear" w:color="auto" w:fill="FFFFFF"/>
          <w:lang w:val="en-US"/>
        </w:rPr>
      </w:pPr>
    </w:p>
    <w:p w14:paraId="4897B47D" w14:textId="2BC99931" w:rsidR="003E00BD" w:rsidRDefault="003E00BD" w:rsidP="003E00BD">
      <w:pPr>
        <w:rPr>
          <w:rFonts w:eastAsia="Times New Roman"/>
          <w:noProof/>
          <w:lang w:eastAsia="en-GB"/>
        </w:rPr>
      </w:pPr>
      <w:r w:rsidRPr="000924B7">
        <w:rPr>
          <w:b/>
          <w:bCs/>
        </w:rPr>
        <w:t>For further information contact:</w:t>
      </w:r>
      <w:r w:rsidR="00A171D3">
        <w:rPr>
          <w:b/>
          <w:bCs/>
        </w:rPr>
        <w:t xml:space="preserve"> </w:t>
      </w:r>
      <w:bookmarkStart w:id="0" w:name="_MailAutoSig"/>
      <w:bookmarkStart w:id="1" w:name="_Hlk27656373"/>
      <w:r>
        <w:fldChar w:fldCharType="begin"/>
      </w:r>
      <w:r>
        <w:instrText xml:space="preserve"> HYPERLINK "http://www.cfois.scot/" </w:instrText>
      </w:r>
      <w:r>
        <w:fldChar w:fldCharType="separate"/>
      </w:r>
      <w:r>
        <w:rPr>
          <w:rStyle w:val="Hyperlink"/>
          <w:rFonts w:eastAsia="Times New Roman"/>
          <w:noProof/>
          <w:lang w:eastAsia="en-GB"/>
        </w:rPr>
        <w:t>www.cfois.scot/</w:t>
      </w:r>
      <w:r>
        <w:fldChar w:fldCharType="end"/>
      </w:r>
      <w:r>
        <w:rPr>
          <w:rFonts w:eastAsia="Times New Roman"/>
          <w:noProof/>
          <w:lang w:eastAsia="en-GB"/>
        </w:rPr>
        <w:t xml:space="preserve">  </w:t>
      </w:r>
      <w:hyperlink r:id="rId10" w:history="1">
        <w:r>
          <w:rPr>
            <w:rStyle w:val="Hyperlink"/>
            <w:rFonts w:eastAsia="Times New Roman"/>
            <w:noProof/>
            <w:lang w:eastAsia="en-GB"/>
          </w:rPr>
          <w:t>info@cfois.scot</w:t>
        </w:r>
      </w:hyperlink>
      <w:r>
        <w:rPr>
          <w:rFonts w:eastAsia="Times New Roman"/>
          <w:noProof/>
          <w:lang w:eastAsia="en-GB"/>
        </w:rPr>
        <w:t xml:space="preserve"> @CFoIScot</w:t>
      </w:r>
      <w:bookmarkEnd w:id="0"/>
      <w:bookmarkEnd w:id="1"/>
      <w:r w:rsidR="000924B7">
        <w:rPr>
          <w:rFonts w:eastAsia="Times New Roman"/>
          <w:noProof/>
          <w:lang w:eastAsia="en-GB"/>
        </w:rPr>
        <w:t xml:space="preserve"> </w:t>
      </w:r>
    </w:p>
    <w:p w14:paraId="670E812D" w14:textId="77777777" w:rsidR="00061D7F" w:rsidRDefault="00061D7F" w:rsidP="003E00BD">
      <w:pPr>
        <w:rPr>
          <w:rFonts w:eastAsia="Times New Roman"/>
          <w:noProof/>
          <w:lang w:eastAsia="en-GB"/>
        </w:rPr>
      </w:pPr>
    </w:p>
    <w:p w14:paraId="37908D4B" w14:textId="453A424E" w:rsidR="00061D7F" w:rsidRPr="00061D7F" w:rsidRDefault="00061D7F" w:rsidP="003E00BD">
      <w:pPr>
        <w:rPr>
          <w:rFonts w:eastAsia="Times New Roman"/>
          <w:b/>
          <w:bCs/>
          <w:noProof/>
          <w:lang w:eastAsia="en-GB"/>
        </w:rPr>
      </w:pPr>
      <w:r w:rsidRPr="00061D7F">
        <w:rPr>
          <w:rFonts w:eastAsia="Times New Roman"/>
          <w:b/>
          <w:bCs/>
          <w:noProof/>
          <w:lang w:eastAsia="en-GB"/>
        </w:rPr>
        <w:t>30</w:t>
      </w:r>
      <w:r w:rsidRPr="00061D7F">
        <w:rPr>
          <w:rFonts w:eastAsia="Times New Roman"/>
          <w:b/>
          <w:bCs/>
          <w:noProof/>
          <w:vertAlign w:val="superscript"/>
          <w:lang w:eastAsia="en-GB"/>
        </w:rPr>
        <w:t>th</w:t>
      </w:r>
      <w:r w:rsidRPr="00061D7F">
        <w:rPr>
          <w:rFonts w:eastAsia="Times New Roman"/>
          <w:b/>
          <w:bCs/>
          <w:noProof/>
          <w:lang w:eastAsia="en-GB"/>
        </w:rPr>
        <w:t xml:space="preserve"> September 2021.</w:t>
      </w:r>
    </w:p>
    <w:sectPr w:rsidR="00061D7F" w:rsidRPr="00061D7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6071C" w14:textId="77777777" w:rsidR="006759B0" w:rsidRDefault="006759B0" w:rsidP="00C84B49">
      <w:r>
        <w:separator/>
      </w:r>
    </w:p>
  </w:endnote>
  <w:endnote w:type="continuationSeparator" w:id="0">
    <w:p w14:paraId="2C193AD5" w14:textId="77777777" w:rsidR="006759B0" w:rsidRDefault="006759B0" w:rsidP="00C84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2876174"/>
      <w:docPartObj>
        <w:docPartGallery w:val="Page Numbers (Bottom of Page)"/>
        <w:docPartUnique/>
      </w:docPartObj>
    </w:sdtPr>
    <w:sdtEndPr>
      <w:rPr>
        <w:noProof/>
      </w:rPr>
    </w:sdtEndPr>
    <w:sdtContent>
      <w:p w14:paraId="336607D1" w14:textId="6EA7DCD7" w:rsidR="00002390" w:rsidRDefault="00002390">
        <w:pPr>
          <w:pStyle w:val="Footer"/>
          <w:jc w:val="right"/>
        </w:pPr>
        <w:r>
          <w:fldChar w:fldCharType="begin"/>
        </w:r>
        <w:r>
          <w:instrText xml:space="preserve"> PAGE   \* MERGEFORMAT </w:instrText>
        </w:r>
        <w:r>
          <w:fldChar w:fldCharType="separate"/>
        </w:r>
        <w:r w:rsidR="00B725DE">
          <w:rPr>
            <w:noProof/>
          </w:rPr>
          <w:t>1</w:t>
        </w:r>
        <w:r>
          <w:rPr>
            <w:noProof/>
          </w:rPr>
          <w:fldChar w:fldCharType="end"/>
        </w:r>
      </w:p>
    </w:sdtContent>
  </w:sdt>
  <w:p w14:paraId="75E359C6" w14:textId="77777777" w:rsidR="00002390" w:rsidRDefault="00002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04A16" w14:textId="77777777" w:rsidR="006759B0" w:rsidRDefault="006759B0" w:rsidP="00C84B49">
      <w:r>
        <w:separator/>
      </w:r>
    </w:p>
  </w:footnote>
  <w:footnote w:type="continuationSeparator" w:id="0">
    <w:p w14:paraId="4DE6441E" w14:textId="77777777" w:rsidR="006759B0" w:rsidRDefault="006759B0" w:rsidP="00C84B49">
      <w:r>
        <w:continuationSeparator/>
      </w:r>
    </w:p>
  </w:footnote>
  <w:footnote w:id="1">
    <w:p w14:paraId="5AD6F2F1" w14:textId="77CDDF62" w:rsidR="00F11CD2" w:rsidRDefault="00F11CD2">
      <w:pPr>
        <w:pStyle w:val="FootnoteText"/>
      </w:pPr>
      <w:r>
        <w:rPr>
          <w:rStyle w:val="FootnoteReference"/>
        </w:rPr>
        <w:footnoteRef/>
      </w:r>
      <w:r>
        <w:t xml:space="preserve"> </w:t>
      </w:r>
      <w:hyperlink r:id="rId1" w:history="1">
        <w:r>
          <w:rPr>
            <w:rStyle w:val="Hyperlink"/>
          </w:rPr>
          <w:t>Message from Ms. Audrey Azoulay, Director-General of UNESCO, on the occasion of the International Day for Universal Access to Information, 28 September 2021 - UNESCO Digital Library</w:t>
        </w:r>
      </w:hyperlink>
    </w:p>
  </w:footnote>
  <w:footnote w:id="2">
    <w:p w14:paraId="4723FD2A" w14:textId="77777777" w:rsidR="00653B47" w:rsidRDefault="00653B47" w:rsidP="00653B47">
      <w:pPr>
        <w:pStyle w:val="FootnoteText"/>
      </w:pPr>
      <w:r>
        <w:rPr>
          <w:rStyle w:val="FootnoteReference"/>
        </w:rPr>
        <w:footnoteRef/>
      </w:r>
      <w:r>
        <w:t xml:space="preserve"> See </w:t>
      </w:r>
      <w:hyperlink r:id="rId2" w:history="1">
        <w:r w:rsidRPr="00D86352">
          <w:rPr>
            <w:rStyle w:val="Hyperlink"/>
          </w:rPr>
          <w:t>http://www.itspublicknowledge.info/home/ScottishInformationCommissioner.aspx</w:t>
        </w:r>
      </w:hyperlink>
      <w:r>
        <w:t xml:space="preserve"> </w:t>
      </w:r>
    </w:p>
  </w:footnote>
  <w:footnote w:id="3">
    <w:p w14:paraId="4AB412BE" w14:textId="77777777" w:rsidR="00653B47" w:rsidRDefault="00653B47" w:rsidP="00653B47">
      <w:pPr>
        <w:pStyle w:val="FootnoteText"/>
      </w:pPr>
      <w:r>
        <w:rPr>
          <w:rStyle w:val="FootnoteReference"/>
        </w:rPr>
        <w:footnoteRef/>
      </w:r>
      <w:r>
        <w:t xml:space="preserve"> Treaty available at </w:t>
      </w:r>
      <w:hyperlink r:id="rId3" w:history="1">
        <w:r w:rsidRPr="00D86352">
          <w:rPr>
            <w:rStyle w:val="Hyperlink"/>
          </w:rPr>
          <w:t>https://www.ohchr.org/en/professionalinterest/pages/ccpr.aspx</w:t>
        </w:r>
      </w:hyperlink>
      <w:r>
        <w:t xml:space="preserve"> </w:t>
      </w:r>
    </w:p>
  </w:footnote>
  <w:footnote w:id="4">
    <w:p w14:paraId="4632B18D" w14:textId="77777777" w:rsidR="00002390" w:rsidRDefault="00002390" w:rsidP="002E4103">
      <w:pPr>
        <w:pStyle w:val="FootnoteText"/>
      </w:pPr>
      <w:r>
        <w:rPr>
          <w:rStyle w:val="FootnoteReference"/>
        </w:rPr>
        <w:footnoteRef/>
      </w:r>
      <w:r>
        <w:t xml:space="preserve"> Scottish Government published report on 3</w:t>
      </w:r>
      <w:r w:rsidRPr="00AD301C">
        <w:rPr>
          <w:vertAlign w:val="superscript"/>
        </w:rPr>
        <w:t>rd</w:t>
      </w:r>
      <w:r>
        <w:t xml:space="preserve"> June 2020 at </w:t>
      </w:r>
      <w:hyperlink r:id="rId4" w:history="1">
        <w:r w:rsidRPr="00A30E40">
          <w:rPr>
            <w:rStyle w:val="Hyperlink"/>
          </w:rPr>
          <w:t>https://www.gov.scot/publications/exercise-iris-report/</w:t>
        </w:r>
      </w:hyperlink>
      <w:r>
        <w:t xml:space="preserve">  </w:t>
      </w:r>
    </w:p>
  </w:footnote>
  <w:footnote w:id="5">
    <w:p w14:paraId="47922688" w14:textId="7925E46D" w:rsidR="00002390" w:rsidRDefault="00002390">
      <w:pPr>
        <w:pStyle w:val="FootnoteText"/>
      </w:pPr>
      <w:r>
        <w:rPr>
          <w:rStyle w:val="FootnoteReference"/>
        </w:rPr>
        <w:footnoteRef/>
      </w:r>
      <w:r>
        <w:t xml:space="preserve"> Roles and responsibilities set out at </w:t>
      </w:r>
      <w:hyperlink r:id="rId5" w:history="1">
        <w:r w:rsidRPr="00291FC9">
          <w:rPr>
            <w:rStyle w:val="Hyperlink"/>
          </w:rPr>
          <w:t>https://www.gov.scot/publications/roles-responsibilities-membership-integration-joint-board/pages/2/</w:t>
        </w:r>
      </w:hyperlink>
      <w:r>
        <w:t xml:space="preserve"> </w:t>
      </w:r>
    </w:p>
  </w:footnote>
  <w:footnote w:id="6">
    <w:p w14:paraId="612D9A81" w14:textId="35F99F67" w:rsidR="00002390" w:rsidRDefault="00002390">
      <w:pPr>
        <w:pStyle w:val="FootnoteText"/>
      </w:pPr>
      <w:r>
        <w:rPr>
          <w:rStyle w:val="FootnoteReference"/>
        </w:rPr>
        <w:footnoteRef/>
      </w:r>
      <w:r>
        <w:t xml:space="preserve"> See analysis of responses at </w:t>
      </w:r>
      <w:hyperlink r:id="rId6" w:history="1">
        <w:r w:rsidRPr="00291FC9">
          <w:rPr>
            <w:rStyle w:val="Hyperlink"/>
          </w:rPr>
          <w:t>https://www.gov.scot/publications/freedom-information-extension-coverage-consultation-analysis/</w:t>
        </w:r>
      </w:hyperlink>
      <w:r>
        <w:t xml:space="preserve"> </w:t>
      </w:r>
    </w:p>
  </w:footnote>
  <w:footnote w:id="7">
    <w:p w14:paraId="4D44218D" w14:textId="77777777" w:rsidR="00AB30FD" w:rsidRDefault="00AB30FD" w:rsidP="00AB30FD">
      <w:pPr>
        <w:pStyle w:val="FootnoteText"/>
      </w:pPr>
      <w:r>
        <w:rPr>
          <w:rStyle w:val="FootnoteReference"/>
        </w:rPr>
        <w:footnoteRef/>
      </w:r>
      <w:r>
        <w:t xml:space="preserve"> Section 6 at </w:t>
      </w:r>
      <w:hyperlink r:id="rId7" w:history="1">
        <w:r w:rsidRPr="00A30E40">
          <w:rPr>
            <w:rStyle w:val="Hyperlink"/>
          </w:rPr>
          <w:t>https://www.legislation.gov.uk/asp/2020/10/section/6/enacted</w:t>
        </w:r>
      </w:hyperlink>
      <w:r>
        <w:t xml:space="preserve"> </w:t>
      </w:r>
    </w:p>
  </w:footnote>
  <w:footnote w:id="8">
    <w:p w14:paraId="6974C464" w14:textId="77777777" w:rsidR="00841EE1" w:rsidRDefault="00841EE1" w:rsidP="00841EE1">
      <w:pPr>
        <w:pStyle w:val="FootnoteText"/>
      </w:pPr>
      <w:r>
        <w:rPr>
          <w:rStyle w:val="FootnoteReference"/>
        </w:rPr>
        <w:footnoteRef/>
      </w:r>
      <w:r>
        <w:t xml:space="preserve"> At </w:t>
      </w:r>
      <w:hyperlink r:id="rId8" w:history="1">
        <w:r>
          <w:rPr>
            <w:rStyle w:val="Hyperlink"/>
          </w:rPr>
          <w:t>International Day for Universal Access to Information (unesco.org)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130"/>
    <w:multiLevelType w:val="hybridMultilevel"/>
    <w:tmpl w:val="23B06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6392F"/>
    <w:multiLevelType w:val="hybridMultilevel"/>
    <w:tmpl w:val="13BC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837E2C"/>
    <w:multiLevelType w:val="multilevel"/>
    <w:tmpl w:val="7BF8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69516B"/>
    <w:multiLevelType w:val="hybridMultilevel"/>
    <w:tmpl w:val="6602BA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C3E2B09"/>
    <w:multiLevelType w:val="hybridMultilevel"/>
    <w:tmpl w:val="5B94B6B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9C70A4"/>
    <w:multiLevelType w:val="hybridMultilevel"/>
    <w:tmpl w:val="19A05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AF2963"/>
    <w:multiLevelType w:val="hybridMultilevel"/>
    <w:tmpl w:val="F4F64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0F3ADD"/>
    <w:multiLevelType w:val="hybridMultilevel"/>
    <w:tmpl w:val="D8B420F2"/>
    <w:lvl w:ilvl="0" w:tplc="54F477F4">
      <w:start w:val="1"/>
      <w:numFmt w:val="bullet"/>
      <w:lvlText w:val="•"/>
      <w:lvlJc w:val="left"/>
      <w:pPr>
        <w:tabs>
          <w:tab w:val="num" w:pos="720"/>
        </w:tabs>
        <w:ind w:left="720" w:hanging="360"/>
      </w:pPr>
      <w:rPr>
        <w:rFonts w:ascii="Arial" w:hAnsi="Arial" w:hint="default"/>
      </w:rPr>
    </w:lvl>
    <w:lvl w:ilvl="1" w:tplc="5CCEE8D6" w:tentative="1">
      <w:start w:val="1"/>
      <w:numFmt w:val="bullet"/>
      <w:lvlText w:val="•"/>
      <w:lvlJc w:val="left"/>
      <w:pPr>
        <w:tabs>
          <w:tab w:val="num" w:pos="1440"/>
        </w:tabs>
        <w:ind w:left="1440" w:hanging="360"/>
      </w:pPr>
      <w:rPr>
        <w:rFonts w:ascii="Arial" w:hAnsi="Arial" w:hint="default"/>
      </w:rPr>
    </w:lvl>
    <w:lvl w:ilvl="2" w:tplc="F56CC1B4" w:tentative="1">
      <w:start w:val="1"/>
      <w:numFmt w:val="bullet"/>
      <w:lvlText w:val="•"/>
      <w:lvlJc w:val="left"/>
      <w:pPr>
        <w:tabs>
          <w:tab w:val="num" w:pos="2160"/>
        </w:tabs>
        <w:ind w:left="2160" w:hanging="360"/>
      </w:pPr>
      <w:rPr>
        <w:rFonts w:ascii="Arial" w:hAnsi="Arial" w:hint="default"/>
      </w:rPr>
    </w:lvl>
    <w:lvl w:ilvl="3" w:tplc="A5FC6438" w:tentative="1">
      <w:start w:val="1"/>
      <w:numFmt w:val="bullet"/>
      <w:lvlText w:val="•"/>
      <w:lvlJc w:val="left"/>
      <w:pPr>
        <w:tabs>
          <w:tab w:val="num" w:pos="2880"/>
        </w:tabs>
        <w:ind w:left="2880" w:hanging="360"/>
      </w:pPr>
      <w:rPr>
        <w:rFonts w:ascii="Arial" w:hAnsi="Arial" w:hint="default"/>
      </w:rPr>
    </w:lvl>
    <w:lvl w:ilvl="4" w:tplc="1C9AC1B6" w:tentative="1">
      <w:start w:val="1"/>
      <w:numFmt w:val="bullet"/>
      <w:lvlText w:val="•"/>
      <w:lvlJc w:val="left"/>
      <w:pPr>
        <w:tabs>
          <w:tab w:val="num" w:pos="3600"/>
        </w:tabs>
        <w:ind w:left="3600" w:hanging="360"/>
      </w:pPr>
      <w:rPr>
        <w:rFonts w:ascii="Arial" w:hAnsi="Arial" w:hint="default"/>
      </w:rPr>
    </w:lvl>
    <w:lvl w:ilvl="5" w:tplc="0ACA2A66" w:tentative="1">
      <w:start w:val="1"/>
      <w:numFmt w:val="bullet"/>
      <w:lvlText w:val="•"/>
      <w:lvlJc w:val="left"/>
      <w:pPr>
        <w:tabs>
          <w:tab w:val="num" w:pos="4320"/>
        </w:tabs>
        <w:ind w:left="4320" w:hanging="360"/>
      </w:pPr>
      <w:rPr>
        <w:rFonts w:ascii="Arial" w:hAnsi="Arial" w:hint="default"/>
      </w:rPr>
    </w:lvl>
    <w:lvl w:ilvl="6" w:tplc="100C16F6" w:tentative="1">
      <w:start w:val="1"/>
      <w:numFmt w:val="bullet"/>
      <w:lvlText w:val="•"/>
      <w:lvlJc w:val="left"/>
      <w:pPr>
        <w:tabs>
          <w:tab w:val="num" w:pos="5040"/>
        </w:tabs>
        <w:ind w:left="5040" w:hanging="360"/>
      </w:pPr>
      <w:rPr>
        <w:rFonts w:ascii="Arial" w:hAnsi="Arial" w:hint="default"/>
      </w:rPr>
    </w:lvl>
    <w:lvl w:ilvl="7" w:tplc="22708538" w:tentative="1">
      <w:start w:val="1"/>
      <w:numFmt w:val="bullet"/>
      <w:lvlText w:val="•"/>
      <w:lvlJc w:val="left"/>
      <w:pPr>
        <w:tabs>
          <w:tab w:val="num" w:pos="5760"/>
        </w:tabs>
        <w:ind w:left="5760" w:hanging="360"/>
      </w:pPr>
      <w:rPr>
        <w:rFonts w:ascii="Arial" w:hAnsi="Arial" w:hint="default"/>
      </w:rPr>
    </w:lvl>
    <w:lvl w:ilvl="8" w:tplc="251A9C4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F0B6B8D"/>
    <w:multiLevelType w:val="hybridMultilevel"/>
    <w:tmpl w:val="A194253E"/>
    <w:lvl w:ilvl="0" w:tplc="1CEE1E08">
      <w:start w:val="1"/>
      <w:numFmt w:val="bullet"/>
      <w:lvlText w:val="•"/>
      <w:lvlJc w:val="left"/>
      <w:pPr>
        <w:tabs>
          <w:tab w:val="num" w:pos="720"/>
        </w:tabs>
        <w:ind w:left="720" w:hanging="360"/>
      </w:pPr>
      <w:rPr>
        <w:rFonts w:ascii="Times New Roman" w:hAnsi="Times New Roman" w:hint="default"/>
      </w:rPr>
    </w:lvl>
    <w:lvl w:ilvl="1" w:tplc="5ABA2962" w:tentative="1">
      <w:start w:val="1"/>
      <w:numFmt w:val="bullet"/>
      <w:lvlText w:val="•"/>
      <w:lvlJc w:val="left"/>
      <w:pPr>
        <w:tabs>
          <w:tab w:val="num" w:pos="1440"/>
        </w:tabs>
        <w:ind w:left="1440" w:hanging="360"/>
      </w:pPr>
      <w:rPr>
        <w:rFonts w:ascii="Times New Roman" w:hAnsi="Times New Roman" w:hint="default"/>
      </w:rPr>
    </w:lvl>
    <w:lvl w:ilvl="2" w:tplc="E1784156" w:tentative="1">
      <w:start w:val="1"/>
      <w:numFmt w:val="bullet"/>
      <w:lvlText w:val="•"/>
      <w:lvlJc w:val="left"/>
      <w:pPr>
        <w:tabs>
          <w:tab w:val="num" w:pos="2160"/>
        </w:tabs>
        <w:ind w:left="2160" w:hanging="360"/>
      </w:pPr>
      <w:rPr>
        <w:rFonts w:ascii="Times New Roman" w:hAnsi="Times New Roman" w:hint="default"/>
      </w:rPr>
    </w:lvl>
    <w:lvl w:ilvl="3" w:tplc="F5E4C9E2" w:tentative="1">
      <w:start w:val="1"/>
      <w:numFmt w:val="bullet"/>
      <w:lvlText w:val="•"/>
      <w:lvlJc w:val="left"/>
      <w:pPr>
        <w:tabs>
          <w:tab w:val="num" w:pos="2880"/>
        </w:tabs>
        <w:ind w:left="2880" w:hanging="360"/>
      </w:pPr>
      <w:rPr>
        <w:rFonts w:ascii="Times New Roman" w:hAnsi="Times New Roman" w:hint="default"/>
      </w:rPr>
    </w:lvl>
    <w:lvl w:ilvl="4" w:tplc="7B46BDAA" w:tentative="1">
      <w:start w:val="1"/>
      <w:numFmt w:val="bullet"/>
      <w:lvlText w:val="•"/>
      <w:lvlJc w:val="left"/>
      <w:pPr>
        <w:tabs>
          <w:tab w:val="num" w:pos="3600"/>
        </w:tabs>
        <w:ind w:left="3600" w:hanging="360"/>
      </w:pPr>
      <w:rPr>
        <w:rFonts w:ascii="Times New Roman" w:hAnsi="Times New Roman" w:hint="default"/>
      </w:rPr>
    </w:lvl>
    <w:lvl w:ilvl="5" w:tplc="B094C92C" w:tentative="1">
      <w:start w:val="1"/>
      <w:numFmt w:val="bullet"/>
      <w:lvlText w:val="•"/>
      <w:lvlJc w:val="left"/>
      <w:pPr>
        <w:tabs>
          <w:tab w:val="num" w:pos="4320"/>
        </w:tabs>
        <w:ind w:left="4320" w:hanging="360"/>
      </w:pPr>
      <w:rPr>
        <w:rFonts w:ascii="Times New Roman" w:hAnsi="Times New Roman" w:hint="default"/>
      </w:rPr>
    </w:lvl>
    <w:lvl w:ilvl="6" w:tplc="32DEF27E" w:tentative="1">
      <w:start w:val="1"/>
      <w:numFmt w:val="bullet"/>
      <w:lvlText w:val="•"/>
      <w:lvlJc w:val="left"/>
      <w:pPr>
        <w:tabs>
          <w:tab w:val="num" w:pos="5040"/>
        </w:tabs>
        <w:ind w:left="5040" w:hanging="360"/>
      </w:pPr>
      <w:rPr>
        <w:rFonts w:ascii="Times New Roman" w:hAnsi="Times New Roman" w:hint="default"/>
      </w:rPr>
    </w:lvl>
    <w:lvl w:ilvl="7" w:tplc="8152CF4E" w:tentative="1">
      <w:start w:val="1"/>
      <w:numFmt w:val="bullet"/>
      <w:lvlText w:val="•"/>
      <w:lvlJc w:val="left"/>
      <w:pPr>
        <w:tabs>
          <w:tab w:val="num" w:pos="5760"/>
        </w:tabs>
        <w:ind w:left="5760" w:hanging="360"/>
      </w:pPr>
      <w:rPr>
        <w:rFonts w:ascii="Times New Roman" w:hAnsi="Times New Roman" w:hint="default"/>
      </w:rPr>
    </w:lvl>
    <w:lvl w:ilvl="8" w:tplc="6FF22A4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2B30D71"/>
    <w:multiLevelType w:val="hybridMultilevel"/>
    <w:tmpl w:val="B87033D0"/>
    <w:lvl w:ilvl="0" w:tplc="05141398">
      <w:start w:val="1"/>
      <w:numFmt w:val="bullet"/>
      <w:lvlText w:val="•"/>
      <w:lvlJc w:val="left"/>
      <w:pPr>
        <w:tabs>
          <w:tab w:val="num" w:pos="720"/>
        </w:tabs>
        <w:ind w:left="720" w:hanging="360"/>
      </w:pPr>
      <w:rPr>
        <w:rFonts w:ascii="Arial" w:hAnsi="Arial" w:hint="default"/>
      </w:rPr>
    </w:lvl>
    <w:lvl w:ilvl="1" w:tplc="13E81F50" w:tentative="1">
      <w:start w:val="1"/>
      <w:numFmt w:val="bullet"/>
      <w:lvlText w:val="•"/>
      <w:lvlJc w:val="left"/>
      <w:pPr>
        <w:tabs>
          <w:tab w:val="num" w:pos="1440"/>
        </w:tabs>
        <w:ind w:left="1440" w:hanging="360"/>
      </w:pPr>
      <w:rPr>
        <w:rFonts w:ascii="Arial" w:hAnsi="Arial" w:hint="default"/>
      </w:rPr>
    </w:lvl>
    <w:lvl w:ilvl="2" w:tplc="B164B59A" w:tentative="1">
      <w:start w:val="1"/>
      <w:numFmt w:val="bullet"/>
      <w:lvlText w:val="•"/>
      <w:lvlJc w:val="left"/>
      <w:pPr>
        <w:tabs>
          <w:tab w:val="num" w:pos="2160"/>
        </w:tabs>
        <w:ind w:left="2160" w:hanging="360"/>
      </w:pPr>
      <w:rPr>
        <w:rFonts w:ascii="Arial" w:hAnsi="Arial" w:hint="default"/>
      </w:rPr>
    </w:lvl>
    <w:lvl w:ilvl="3" w:tplc="8402E73A" w:tentative="1">
      <w:start w:val="1"/>
      <w:numFmt w:val="bullet"/>
      <w:lvlText w:val="•"/>
      <w:lvlJc w:val="left"/>
      <w:pPr>
        <w:tabs>
          <w:tab w:val="num" w:pos="2880"/>
        </w:tabs>
        <w:ind w:left="2880" w:hanging="360"/>
      </w:pPr>
      <w:rPr>
        <w:rFonts w:ascii="Arial" w:hAnsi="Arial" w:hint="default"/>
      </w:rPr>
    </w:lvl>
    <w:lvl w:ilvl="4" w:tplc="31FAC1E0" w:tentative="1">
      <w:start w:val="1"/>
      <w:numFmt w:val="bullet"/>
      <w:lvlText w:val="•"/>
      <w:lvlJc w:val="left"/>
      <w:pPr>
        <w:tabs>
          <w:tab w:val="num" w:pos="3600"/>
        </w:tabs>
        <w:ind w:left="3600" w:hanging="360"/>
      </w:pPr>
      <w:rPr>
        <w:rFonts w:ascii="Arial" w:hAnsi="Arial" w:hint="default"/>
      </w:rPr>
    </w:lvl>
    <w:lvl w:ilvl="5" w:tplc="604A4C7E" w:tentative="1">
      <w:start w:val="1"/>
      <w:numFmt w:val="bullet"/>
      <w:lvlText w:val="•"/>
      <w:lvlJc w:val="left"/>
      <w:pPr>
        <w:tabs>
          <w:tab w:val="num" w:pos="4320"/>
        </w:tabs>
        <w:ind w:left="4320" w:hanging="360"/>
      </w:pPr>
      <w:rPr>
        <w:rFonts w:ascii="Arial" w:hAnsi="Arial" w:hint="default"/>
      </w:rPr>
    </w:lvl>
    <w:lvl w:ilvl="6" w:tplc="FD26591A" w:tentative="1">
      <w:start w:val="1"/>
      <w:numFmt w:val="bullet"/>
      <w:lvlText w:val="•"/>
      <w:lvlJc w:val="left"/>
      <w:pPr>
        <w:tabs>
          <w:tab w:val="num" w:pos="5040"/>
        </w:tabs>
        <w:ind w:left="5040" w:hanging="360"/>
      </w:pPr>
      <w:rPr>
        <w:rFonts w:ascii="Arial" w:hAnsi="Arial" w:hint="default"/>
      </w:rPr>
    </w:lvl>
    <w:lvl w:ilvl="7" w:tplc="AEFC9D84" w:tentative="1">
      <w:start w:val="1"/>
      <w:numFmt w:val="bullet"/>
      <w:lvlText w:val="•"/>
      <w:lvlJc w:val="left"/>
      <w:pPr>
        <w:tabs>
          <w:tab w:val="num" w:pos="5760"/>
        </w:tabs>
        <w:ind w:left="5760" w:hanging="360"/>
      </w:pPr>
      <w:rPr>
        <w:rFonts w:ascii="Arial" w:hAnsi="Arial" w:hint="default"/>
      </w:rPr>
    </w:lvl>
    <w:lvl w:ilvl="8" w:tplc="52C0080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35B4D6E"/>
    <w:multiLevelType w:val="hybridMultilevel"/>
    <w:tmpl w:val="5074E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030CA4"/>
    <w:multiLevelType w:val="hybridMultilevel"/>
    <w:tmpl w:val="54883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5F172D"/>
    <w:multiLevelType w:val="hybridMultilevel"/>
    <w:tmpl w:val="B1FCBF72"/>
    <w:lvl w:ilvl="0" w:tplc="2CD07ED0">
      <w:start w:val="1"/>
      <w:numFmt w:val="bullet"/>
      <w:lvlText w:val="•"/>
      <w:lvlJc w:val="left"/>
      <w:pPr>
        <w:tabs>
          <w:tab w:val="num" w:pos="720"/>
        </w:tabs>
        <w:ind w:left="720" w:hanging="360"/>
      </w:pPr>
      <w:rPr>
        <w:rFonts w:ascii="Arial" w:hAnsi="Arial" w:hint="default"/>
      </w:rPr>
    </w:lvl>
    <w:lvl w:ilvl="1" w:tplc="785AA2FC" w:tentative="1">
      <w:start w:val="1"/>
      <w:numFmt w:val="bullet"/>
      <w:lvlText w:val="•"/>
      <w:lvlJc w:val="left"/>
      <w:pPr>
        <w:tabs>
          <w:tab w:val="num" w:pos="1440"/>
        </w:tabs>
        <w:ind w:left="1440" w:hanging="360"/>
      </w:pPr>
      <w:rPr>
        <w:rFonts w:ascii="Arial" w:hAnsi="Arial" w:hint="default"/>
      </w:rPr>
    </w:lvl>
    <w:lvl w:ilvl="2" w:tplc="1A90616C" w:tentative="1">
      <w:start w:val="1"/>
      <w:numFmt w:val="bullet"/>
      <w:lvlText w:val="•"/>
      <w:lvlJc w:val="left"/>
      <w:pPr>
        <w:tabs>
          <w:tab w:val="num" w:pos="2160"/>
        </w:tabs>
        <w:ind w:left="2160" w:hanging="360"/>
      </w:pPr>
      <w:rPr>
        <w:rFonts w:ascii="Arial" w:hAnsi="Arial" w:hint="default"/>
      </w:rPr>
    </w:lvl>
    <w:lvl w:ilvl="3" w:tplc="F2900288" w:tentative="1">
      <w:start w:val="1"/>
      <w:numFmt w:val="bullet"/>
      <w:lvlText w:val="•"/>
      <w:lvlJc w:val="left"/>
      <w:pPr>
        <w:tabs>
          <w:tab w:val="num" w:pos="2880"/>
        </w:tabs>
        <w:ind w:left="2880" w:hanging="360"/>
      </w:pPr>
      <w:rPr>
        <w:rFonts w:ascii="Arial" w:hAnsi="Arial" w:hint="default"/>
      </w:rPr>
    </w:lvl>
    <w:lvl w:ilvl="4" w:tplc="76B09E32" w:tentative="1">
      <w:start w:val="1"/>
      <w:numFmt w:val="bullet"/>
      <w:lvlText w:val="•"/>
      <w:lvlJc w:val="left"/>
      <w:pPr>
        <w:tabs>
          <w:tab w:val="num" w:pos="3600"/>
        </w:tabs>
        <w:ind w:left="3600" w:hanging="360"/>
      </w:pPr>
      <w:rPr>
        <w:rFonts w:ascii="Arial" w:hAnsi="Arial" w:hint="default"/>
      </w:rPr>
    </w:lvl>
    <w:lvl w:ilvl="5" w:tplc="72B2B23A" w:tentative="1">
      <w:start w:val="1"/>
      <w:numFmt w:val="bullet"/>
      <w:lvlText w:val="•"/>
      <w:lvlJc w:val="left"/>
      <w:pPr>
        <w:tabs>
          <w:tab w:val="num" w:pos="4320"/>
        </w:tabs>
        <w:ind w:left="4320" w:hanging="360"/>
      </w:pPr>
      <w:rPr>
        <w:rFonts w:ascii="Arial" w:hAnsi="Arial" w:hint="default"/>
      </w:rPr>
    </w:lvl>
    <w:lvl w:ilvl="6" w:tplc="D750D700" w:tentative="1">
      <w:start w:val="1"/>
      <w:numFmt w:val="bullet"/>
      <w:lvlText w:val="•"/>
      <w:lvlJc w:val="left"/>
      <w:pPr>
        <w:tabs>
          <w:tab w:val="num" w:pos="5040"/>
        </w:tabs>
        <w:ind w:left="5040" w:hanging="360"/>
      </w:pPr>
      <w:rPr>
        <w:rFonts w:ascii="Arial" w:hAnsi="Arial" w:hint="default"/>
      </w:rPr>
    </w:lvl>
    <w:lvl w:ilvl="7" w:tplc="BE50A09A" w:tentative="1">
      <w:start w:val="1"/>
      <w:numFmt w:val="bullet"/>
      <w:lvlText w:val="•"/>
      <w:lvlJc w:val="left"/>
      <w:pPr>
        <w:tabs>
          <w:tab w:val="num" w:pos="5760"/>
        </w:tabs>
        <w:ind w:left="5760" w:hanging="360"/>
      </w:pPr>
      <w:rPr>
        <w:rFonts w:ascii="Arial" w:hAnsi="Arial" w:hint="default"/>
      </w:rPr>
    </w:lvl>
    <w:lvl w:ilvl="8" w:tplc="BE40498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9BD2947"/>
    <w:multiLevelType w:val="hybridMultilevel"/>
    <w:tmpl w:val="AA6EDAB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43238AD"/>
    <w:multiLevelType w:val="hybridMultilevel"/>
    <w:tmpl w:val="2A101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4134CA"/>
    <w:multiLevelType w:val="hybridMultilevel"/>
    <w:tmpl w:val="5CEA0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B93F8C"/>
    <w:multiLevelType w:val="hybridMultilevel"/>
    <w:tmpl w:val="19448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701EED"/>
    <w:multiLevelType w:val="hybridMultilevel"/>
    <w:tmpl w:val="87683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232A34"/>
    <w:multiLevelType w:val="hybridMultilevel"/>
    <w:tmpl w:val="182A6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0C4230"/>
    <w:multiLevelType w:val="hybridMultilevel"/>
    <w:tmpl w:val="A0682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0F572B"/>
    <w:multiLevelType w:val="hybridMultilevel"/>
    <w:tmpl w:val="C9A42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1E14D2"/>
    <w:multiLevelType w:val="multilevel"/>
    <w:tmpl w:val="D862A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7647AF"/>
    <w:multiLevelType w:val="hybridMultilevel"/>
    <w:tmpl w:val="A65A66F8"/>
    <w:lvl w:ilvl="0" w:tplc="9C8C2058">
      <w:start w:val="1"/>
      <w:numFmt w:val="bullet"/>
      <w:lvlText w:val="•"/>
      <w:lvlJc w:val="left"/>
      <w:pPr>
        <w:tabs>
          <w:tab w:val="num" w:pos="720"/>
        </w:tabs>
        <w:ind w:left="720" w:hanging="360"/>
      </w:pPr>
      <w:rPr>
        <w:rFonts w:ascii="Times New Roman" w:hAnsi="Times New Roman" w:hint="default"/>
      </w:rPr>
    </w:lvl>
    <w:lvl w:ilvl="1" w:tplc="40E4FD5E" w:tentative="1">
      <w:start w:val="1"/>
      <w:numFmt w:val="bullet"/>
      <w:lvlText w:val="•"/>
      <w:lvlJc w:val="left"/>
      <w:pPr>
        <w:tabs>
          <w:tab w:val="num" w:pos="1440"/>
        </w:tabs>
        <w:ind w:left="1440" w:hanging="360"/>
      </w:pPr>
      <w:rPr>
        <w:rFonts w:ascii="Times New Roman" w:hAnsi="Times New Roman" w:hint="default"/>
      </w:rPr>
    </w:lvl>
    <w:lvl w:ilvl="2" w:tplc="96442464" w:tentative="1">
      <w:start w:val="1"/>
      <w:numFmt w:val="bullet"/>
      <w:lvlText w:val="•"/>
      <w:lvlJc w:val="left"/>
      <w:pPr>
        <w:tabs>
          <w:tab w:val="num" w:pos="2160"/>
        </w:tabs>
        <w:ind w:left="2160" w:hanging="360"/>
      </w:pPr>
      <w:rPr>
        <w:rFonts w:ascii="Times New Roman" w:hAnsi="Times New Roman" w:hint="default"/>
      </w:rPr>
    </w:lvl>
    <w:lvl w:ilvl="3" w:tplc="5B5C6FA6" w:tentative="1">
      <w:start w:val="1"/>
      <w:numFmt w:val="bullet"/>
      <w:lvlText w:val="•"/>
      <w:lvlJc w:val="left"/>
      <w:pPr>
        <w:tabs>
          <w:tab w:val="num" w:pos="2880"/>
        </w:tabs>
        <w:ind w:left="2880" w:hanging="360"/>
      </w:pPr>
      <w:rPr>
        <w:rFonts w:ascii="Times New Roman" w:hAnsi="Times New Roman" w:hint="default"/>
      </w:rPr>
    </w:lvl>
    <w:lvl w:ilvl="4" w:tplc="BEAC4566" w:tentative="1">
      <w:start w:val="1"/>
      <w:numFmt w:val="bullet"/>
      <w:lvlText w:val="•"/>
      <w:lvlJc w:val="left"/>
      <w:pPr>
        <w:tabs>
          <w:tab w:val="num" w:pos="3600"/>
        </w:tabs>
        <w:ind w:left="3600" w:hanging="360"/>
      </w:pPr>
      <w:rPr>
        <w:rFonts w:ascii="Times New Roman" w:hAnsi="Times New Roman" w:hint="default"/>
      </w:rPr>
    </w:lvl>
    <w:lvl w:ilvl="5" w:tplc="DAB63274" w:tentative="1">
      <w:start w:val="1"/>
      <w:numFmt w:val="bullet"/>
      <w:lvlText w:val="•"/>
      <w:lvlJc w:val="left"/>
      <w:pPr>
        <w:tabs>
          <w:tab w:val="num" w:pos="4320"/>
        </w:tabs>
        <w:ind w:left="4320" w:hanging="360"/>
      </w:pPr>
      <w:rPr>
        <w:rFonts w:ascii="Times New Roman" w:hAnsi="Times New Roman" w:hint="default"/>
      </w:rPr>
    </w:lvl>
    <w:lvl w:ilvl="6" w:tplc="EF7C1CA0" w:tentative="1">
      <w:start w:val="1"/>
      <w:numFmt w:val="bullet"/>
      <w:lvlText w:val="•"/>
      <w:lvlJc w:val="left"/>
      <w:pPr>
        <w:tabs>
          <w:tab w:val="num" w:pos="5040"/>
        </w:tabs>
        <w:ind w:left="5040" w:hanging="360"/>
      </w:pPr>
      <w:rPr>
        <w:rFonts w:ascii="Times New Roman" w:hAnsi="Times New Roman" w:hint="default"/>
      </w:rPr>
    </w:lvl>
    <w:lvl w:ilvl="7" w:tplc="719C0CC4" w:tentative="1">
      <w:start w:val="1"/>
      <w:numFmt w:val="bullet"/>
      <w:lvlText w:val="•"/>
      <w:lvlJc w:val="left"/>
      <w:pPr>
        <w:tabs>
          <w:tab w:val="num" w:pos="5760"/>
        </w:tabs>
        <w:ind w:left="5760" w:hanging="360"/>
      </w:pPr>
      <w:rPr>
        <w:rFonts w:ascii="Times New Roman" w:hAnsi="Times New Roman" w:hint="default"/>
      </w:rPr>
    </w:lvl>
    <w:lvl w:ilvl="8" w:tplc="2724095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7FD00B5"/>
    <w:multiLevelType w:val="hybridMultilevel"/>
    <w:tmpl w:val="C062E73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8"/>
  </w:num>
  <w:num w:numId="4">
    <w:abstractNumId w:val="14"/>
  </w:num>
  <w:num w:numId="5">
    <w:abstractNumId w:val="11"/>
  </w:num>
  <w:num w:numId="6">
    <w:abstractNumId w:val="12"/>
  </w:num>
  <w:num w:numId="7">
    <w:abstractNumId w:val="0"/>
  </w:num>
  <w:num w:numId="8">
    <w:abstractNumId w:val="5"/>
  </w:num>
  <w:num w:numId="9">
    <w:abstractNumId w:val="13"/>
  </w:num>
  <w:num w:numId="10">
    <w:abstractNumId w:val="9"/>
  </w:num>
  <w:num w:numId="11">
    <w:abstractNumId w:val="21"/>
  </w:num>
  <w:num w:numId="12">
    <w:abstractNumId w:val="17"/>
  </w:num>
  <w:num w:numId="13">
    <w:abstractNumId w:val="10"/>
  </w:num>
  <w:num w:numId="14">
    <w:abstractNumId w:val="1"/>
  </w:num>
  <w:num w:numId="15">
    <w:abstractNumId w:val="16"/>
  </w:num>
  <w:num w:numId="16">
    <w:abstractNumId w:val="22"/>
  </w:num>
  <w:num w:numId="17">
    <w:abstractNumId w:val="7"/>
  </w:num>
  <w:num w:numId="18">
    <w:abstractNumId w:val="4"/>
  </w:num>
  <w:num w:numId="19">
    <w:abstractNumId w:val="23"/>
  </w:num>
  <w:num w:numId="20">
    <w:abstractNumId w:val="2"/>
  </w:num>
  <w:num w:numId="21">
    <w:abstractNumId w:val="19"/>
  </w:num>
  <w:num w:numId="22">
    <w:abstractNumId w:val="20"/>
  </w:num>
  <w:num w:numId="23">
    <w:abstractNumId w:val="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029"/>
    <w:rsid w:val="00002390"/>
    <w:rsid w:val="00012D65"/>
    <w:rsid w:val="00026D16"/>
    <w:rsid w:val="000343C9"/>
    <w:rsid w:val="00061D7F"/>
    <w:rsid w:val="00072592"/>
    <w:rsid w:val="00076CF9"/>
    <w:rsid w:val="000924B7"/>
    <w:rsid w:val="000948FF"/>
    <w:rsid w:val="000968DE"/>
    <w:rsid w:val="000E18E7"/>
    <w:rsid w:val="001302C2"/>
    <w:rsid w:val="00164BF8"/>
    <w:rsid w:val="00180029"/>
    <w:rsid w:val="00195063"/>
    <w:rsid w:val="001B7450"/>
    <w:rsid w:val="001C2E8B"/>
    <w:rsid w:val="001E36A2"/>
    <w:rsid w:val="00211D67"/>
    <w:rsid w:val="002215CF"/>
    <w:rsid w:val="00253BE2"/>
    <w:rsid w:val="002A04EA"/>
    <w:rsid w:val="002B1CD4"/>
    <w:rsid w:val="002B4099"/>
    <w:rsid w:val="002D1570"/>
    <w:rsid w:val="002E4103"/>
    <w:rsid w:val="003343DC"/>
    <w:rsid w:val="003555CC"/>
    <w:rsid w:val="00362531"/>
    <w:rsid w:val="00367096"/>
    <w:rsid w:val="003733BE"/>
    <w:rsid w:val="00390201"/>
    <w:rsid w:val="003E00BD"/>
    <w:rsid w:val="003E55AE"/>
    <w:rsid w:val="00403EF6"/>
    <w:rsid w:val="004139E7"/>
    <w:rsid w:val="00447BF3"/>
    <w:rsid w:val="0046295F"/>
    <w:rsid w:val="004711F4"/>
    <w:rsid w:val="00497136"/>
    <w:rsid w:val="004B3C4E"/>
    <w:rsid w:val="004D6990"/>
    <w:rsid w:val="00507CA7"/>
    <w:rsid w:val="005155C3"/>
    <w:rsid w:val="00515DD4"/>
    <w:rsid w:val="00517C06"/>
    <w:rsid w:val="005348E1"/>
    <w:rsid w:val="00535A9A"/>
    <w:rsid w:val="00575DDA"/>
    <w:rsid w:val="00581E20"/>
    <w:rsid w:val="0059235A"/>
    <w:rsid w:val="005926BC"/>
    <w:rsid w:val="005A0A9D"/>
    <w:rsid w:val="005B65B3"/>
    <w:rsid w:val="005D5B8B"/>
    <w:rsid w:val="00600C23"/>
    <w:rsid w:val="006236F0"/>
    <w:rsid w:val="006421BC"/>
    <w:rsid w:val="006450AF"/>
    <w:rsid w:val="00651572"/>
    <w:rsid w:val="006520B7"/>
    <w:rsid w:val="00653B47"/>
    <w:rsid w:val="00653EC3"/>
    <w:rsid w:val="006759B0"/>
    <w:rsid w:val="00693F63"/>
    <w:rsid w:val="0069683C"/>
    <w:rsid w:val="006A7DE0"/>
    <w:rsid w:val="006B79FE"/>
    <w:rsid w:val="006C03B1"/>
    <w:rsid w:val="006D0C32"/>
    <w:rsid w:val="007124D1"/>
    <w:rsid w:val="00745F47"/>
    <w:rsid w:val="00775CDF"/>
    <w:rsid w:val="007A18CF"/>
    <w:rsid w:val="007A374C"/>
    <w:rsid w:val="007B2E82"/>
    <w:rsid w:val="007B40C0"/>
    <w:rsid w:val="007B6F2B"/>
    <w:rsid w:val="00810F01"/>
    <w:rsid w:val="00841EE1"/>
    <w:rsid w:val="00846349"/>
    <w:rsid w:val="00847497"/>
    <w:rsid w:val="00887496"/>
    <w:rsid w:val="008B049B"/>
    <w:rsid w:val="008F4502"/>
    <w:rsid w:val="009474B1"/>
    <w:rsid w:val="0095211C"/>
    <w:rsid w:val="00977BD6"/>
    <w:rsid w:val="00980128"/>
    <w:rsid w:val="009C0F64"/>
    <w:rsid w:val="009C4D3D"/>
    <w:rsid w:val="009C7488"/>
    <w:rsid w:val="009E401A"/>
    <w:rsid w:val="00A05228"/>
    <w:rsid w:val="00A171D3"/>
    <w:rsid w:val="00A23C65"/>
    <w:rsid w:val="00A63CF5"/>
    <w:rsid w:val="00A751E9"/>
    <w:rsid w:val="00A804A0"/>
    <w:rsid w:val="00A95816"/>
    <w:rsid w:val="00AB30FD"/>
    <w:rsid w:val="00AD301C"/>
    <w:rsid w:val="00B05C77"/>
    <w:rsid w:val="00B53292"/>
    <w:rsid w:val="00B55B91"/>
    <w:rsid w:val="00B725DE"/>
    <w:rsid w:val="00BA4104"/>
    <w:rsid w:val="00BB5EFF"/>
    <w:rsid w:val="00BC53AE"/>
    <w:rsid w:val="00BD09F1"/>
    <w:rsid w:val="00C023DF"/>
    <w:rsid w:val="00C050AF"/>
    <w:rsid w:val="00C10F62"/>
    <w:rsid w:val="00C22266"/>
    <w:rsid w:val="00C37B39"/>
    <w:rsid w:val="00C61286"/>
    <w:rsid w:val="00C66A26"/>
    <w:rsid w:val="00C74AE5"/>
    <w:rsid w:val="00C84B49"/>
    <w:rsid w:val="00CD430B"/>
    <w:rsid w:val="00CE7234"/>
    <w:rsid w:val="00D03C2F"/>
    <w:rsid w:val="00D10136"/>
    <w:rsid w:val="00D35FBC"/>
    <w:rsid w:val="00D4264F"/>
    <w:rsid w:val="00D71FA1"/>
    <w:rsid w:val="00DC458F"/>
    <w:rsid w:val="00DC648D"/>
    <w:rsid w:val="00E16BD9"/>
    <w:rsid w:val="00E27ECA"/>
    <w:rsid w:val="00E36AF7"/>
    <w:rsid w:val="00E53F17"/>
    <w:rsid w:val="00E667F0"/>
    <w:rsid w:val="00EB1988"/>
    <w:rsid w:val="00F016C4"/>
    <w:rsid w:val="00F11CD2"/>
    <w:rsid w:val="00F12F6B"/>
    <w:rsid w:val="00F14FB1"/>
    <w:rsid w:val="00F2253B"/>
    <w:rsid w:val="00F226E3"/>
    <w:rsid w:val="00F22E37"/>
    <w:rsid w:val="00F448B7"/>
    <w:rsid w:val="00F458A2"/>
    <w:rsid w:val="00F864DB"/>
    <w:rsid w:val="00FB4314"/>
    <w:rsid w:val="00FC4D3F"/>
    <w:rsid w:val="00FF69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D55FD7"/>
  <w15:docId w15:val="{21B5B069-7039-4147-9DC7-1F3A52053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029"/>
    <w:pPr>
      <w:ind w:left="720"/>
      <w:contextualSpacing/>
    </w:pPr>
  </w:style>
  <w:style w:type="character" w:styleId="Hyperlink">
    <w:name w:val="Hyperlink"/>
    <w:basedOn w:val="DefaultParagraphFont"/>
    <w:uiPriority w:val="99"/>
    <w:unhideWhenUsed/>
    <w:rsid w:val="000343C9"/>
    <w:rPr>
      <w:color w:val="0563C1" w:themeColor="hyperlink"/>
      <w:u w:val="single"/>
    </w:rPr>
  </w:style>
  <w:style w:type="character" w:customStyle="1" w:styleId="UnresolvedMention1">
    <w:name w:val="Unresolved Mention1"/>
    <w:basedOn w:val="DefaultParagraphFont"/>
    <w:uiPriority w:val="99"/>
    <w:semiHidden/>
    <w:unhideWhenUsed/>
    <w:rsid w:val="000343C9"/>
    <w:rPr>
      <w:color w:val="605E5C"/>
      <w:shd w:val="clear" w:color="auto" w:fill="E1DFDD"/>
    </w:rPr>
  </w:style>
  <w:style w:type="paragraph" w:styleId="NormalWeb">
    <w:name w:val="Normal (Web)"/>
    <w:basedOn w:val="Normal"/>
    <w:uiPriority w:val="99"/>
    <w:semiHidden/>
    <w:unhideWhenUsed/>
    <w:rsid w:val="00F14FB1"/>
    <w:pPr>
      <w:spacing w:before="100" w:beforeAutospacing="1" w:after="100" w:afterAutospacing="1"/>
    </w:pPr>
    <w:rPr>
      <w:rFonts w:ascii="Times New Roman" w:eastAsia="Times New Roman" w:hAnsi="Times New Roman" w:cs="Times New Roman"/>
      <w:color w:val="auto"/>
      <w:lang w:eastAsia="en-GB"/>
    </w:rPr>
  </w:style>
  <w:style w:type="character" w:styleId="Strong">
    <w:name w:val="Strong"/>
    <w:basedOn w:val="DefaultParagraphFont"/>
    <w:uiPriority w:val="22"/>
    <w:qFormat/>
    <w:rsid w:val="00F14FB1"/>
    <w:rPr>
      <w:b/>
      <w:bCs/>
    </w:rPr>
  </w:style>
  <w:style w:type="character" w:styleId="FollowedHyperlink">
    <w:name w:val="FollowedHyperlink"/>
    <w:basedOn w:val="DefaultParagraphFont"/>
    <w:uiPriority w:val="99"/>
    <w:semiHidden/>
    <w:unhideWhenUsed/>
    <w:rsid w:val="00C84B49"/>
    <w:rPr>
      <w:color w:val="954F72" w:themeColor="followedHyperlink"/>
      <w:u w:val="single"/>
    </w:rPr>
  </w:style>
  <w:style w:type="paragraph" w:styleId="Header">
    <w:name w:val="header"/>
    <w:basedOn w:val="Normal"/>
    <w:link w:val="HeaderChar"/>
    <w:uiPriority w:val="99"/>
    <w:unhideWhenUsed/>
    <w:rsid w:val="00C84B49"/>
    <w:pPr>
      <w:tabs>
        <w:tab w:val="center" w:pos="4513"/>
        <w:tab w:val="right" w:pos="9026"/>
      </w:tabs>
    </w:pPr>
  </w:style>
  <w:style w:type="character" w:customStyle="1" w:styleId="HeaderChar">
    <w:name w:val="Header Char"/>
    <w:basedOn w:val="DefaultParagraphFont"/>
    <w:link w:val="Header"/>
    <w:uiPriority w:val="99"/>
    <w:rsid w:val="00C84B49"/>
  </w:style>
  <w:style w:type="paragraph" w:styleId="Footer">
    <w:name w:val="footer"/>
    <w:basedOn w:val="Normal"/>
    <w:link w:val="FooterChar"/>
    <w:uiPriority w:val="99"/>
    <w:unhideWhenUsed/>
    <w:rsid w:val="00C84B49"/>
    <w:pPr>
      <w:tabs>
        <w:tab w:val="center" w:pos="4513"/>
        <w:tab w:val="right" w:pos="9026"/>
      </w:tabs>
    </w:pPr>
  </w:style>
  <w:style w:type="character" w:customStyle="1" w:styleId="FooterChar">
    <w:name w:val="Footer Char"/>
    <w:basedOn w:val="DefaultParagraphFont"/>
    <w:link w:val="Footer"/>
    <w:uiPriority w:val="99"/>
    <w:rsid w:val="00C84B49"/>
  </w:style>
  <w:style w:type="paragraph" w:styleId="BalloonText">
    <w:name w:val="Balloon Text"/>
    <w:basedOn w:val="Normal"/>
    <w:link w:val="BalloonTextChar"/>
    <w:uiPriority w:val="99"/>
    <w:semiHidden/>
    <w:unhideWhenUsed/>
    <w:rsid w:val="003670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096"/>
    <w:rPr>
      <w:rFonts w:ascii="Segoe UI" w:hAnsi="Segoe UI" w:cs="Segoe UI"/>
      <w:sz w:val="18"/>
      <w:szCs w:val="18"/>
    </w:rPr>
  </w:style>
  <w:style w:type="paragraph" w:styleId="FootnoteText">
    <w:name w:val="footnote text"/>
    <w:aliases w:val="5_G"/>
    <w:basedOn w:val="Normal"/>
    <w:link w:val="FootnoteTextChar"/>
    <w:uiPriority w:val="99"/>
    <w:unhideWhenUsed/>
    <w:rsid w:val="00846349"/>
    <w:rPr>
      <w:sz w:val="20"/>
      <w:szCs w:val="20"/>
    </w:rPr>
  </w:style>
  <w:style w:type="character" w:customStyle="1" w:styleId="FootnoteTextChar">
    <w:name w:val="Footnote Text Char"/>
    <w:aliases w:val="5_G Char"/>
    <w:basedOn w:val="DefaultParagraphFont"/>
    <w:link w:val="FootnoteText"/>
    <w:uiPriority w:val="99"/>
    <w:rsid w:val="00846349"/>
    <w:rPr>
      <w:sz w:val="20"/>
      <w:szCs w:val="20"/>
    </w:rPr>
  </w:style>
  <w:style w:type="character" w:styleId="FootnoteReference">
    <w:name w:val="footnote reference"/>
    <w:aliases w:val="4_G Char Char Char Char,Footnotes refss Char Char Char Char,ftref Char Char Char Char,BVI fnr Char Char Char Char,BVI fnr Car Car Char Char Char Char,BVI fnr Car Char Char Char Char,BVI fnr Car Car Car Car Char Char1 Char Char,4_G"/>
    <w:basedOn w:val="DefaultParagraphFont"/>
    <w:link w:val="4GCharCharChar"/>
    <w:uiPriority w:val="99"/>
    <w:unhideWhenUsed/>
    <w:rsid w:val="00846349"/>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A804A0"/>
    <w:pPr>
      <w:spacing w:after="160" w:line="240" w:lineRule="exact"/>
      <w:jc w:val="both"/>
    </w:pPr>
    <w:rPr>
      <w:vertAlign w:val="superscript"/>
    </w:rPr>
  </w:style>
  <w:style w:type="paragraph" w:styleId="EndnoteText">
    <w:name w:val="endnote text"/>
    <w:basedOn w:val="Normal"/>
    <w:link w:val="EndnoteTextChar"/>
    <w:uiPriority w:val="99"/>
    <w:semiHidden/>
    <w:unhideWhenUsed/>
    <w:rsid w:val="003343DC"/>
    <w:rPr>
      <w:sz w:val="20"/>
      <w:szCs w:val="20"/>
    </w:rPr>
  </w:style>
  <w:style w:type="character" w:customStyle="1" w:styleId="EndnoteTextChar">
    <w:name w:val="Endnote Text Char"/>
    <w:basedOn w:val="DefaultParagraphFont"/>
    <w:link w:val="EndnoteText"/>
    <w:uiPriority w:val="99"/>
    <w:semiHidden/>
    <w:rsid w:val="003343DC"/>
    <w:rPr>
      <w:sz w:val="20"/>
      <w:szCs w:val="20"/>
    </w:rPr>
  </w:style>
  <w:style w:type="character" w:styleId="EndnoteReference">
    <w:name w:val="endnote reference"/>
    <w:basedOn w:val="DefaultParagraphFont"/>
    <w:uiPriority w:val="99"/>
    <w:semiHidden/>
    <w:unhideWhenUsed/>
    <w:rsid w:val="003343DC"/>
    <w:rPr>
      <w:vertAlign w:val="superscript"/>
    </w:rPr>
  </w:style>
  <w:style w:type="character" w:styleId="CommentReference">
    <w:name w:val="annotation reference"/>
    <w:basedOn w:val="DefaultParagraphFont"/>
    <w:uiPriority w:val="99"/>
    <w:semiHidden/>
    <w:unhideWhenUsed/>
    <w:rsid w:val="007124D1"/>
    <w:rPr>
      <w:sz w:val="18"/>
      <w:szCs w:val="18"/>
    </w:rPr>
  </w:style>
  <w:style w:type="paragraph" w:styleId="CommentText">
    <w:name w:val="annotation text"/>
    <w:basedOn w:val="Normal"/>
    <w:link w:val="CommentTextChar"/>
    <w:uiPriority w:val="99"/>
    <w:semiHidden/>
    <w:unhideWhenUsed/>
    <w:rsid w:val="007124D1"/>
  </w:style>
  <w:style w:type="character" w:customStyle="1" w:styleId="CommentTextChar">
    <w:name w:val="Comment Text Char"/>
    <w:basedOn w:val="DefaultParagraphFont"/>
    <w:link w:val="CommentText"/>
    <w:uiPriority w:val="99"/>
    <w:semiHidden/>
    <w:rsid w:val="007124D1"/>
  </w:style>
  <w:style w:type="paragraph" w:styleId="CommentSubject">
    <w:name w:val="annotation subject"/>
    <w:basedOn w:val="CommentText"/>
    <w:next w:val="CommentText"/>
    <w:link w:val="CommentSubjectChar"/>
    <w:uiPriority w:val="99"/>
    <w:semiHidden/>
    <w:unhideWhenUsed/>
    <w:rsid w:val="007124D1"/>
    <w:rPr>
      <w:b/>
      <w:bCs/>
      <w:sz w:val="20"/>
      <w:szCs w:val="20"/>
    </w:rPr>
  </w:style>
  <w:style w:type="character" w:customStyle="1" w:styleId="CommentSubjectChar">
    <w:name w:val="Comment Subject Char"/>
    <w:basedOn w:val="CommentTextChar"/>
    <w:link w:val="CommentSubject"/>
    <w:uiPriority w:val="99"/>
    <w:semiHidden/>
    <w:rsid w:val="007124D1"/>
    <w:rPr>
      <w:b/>
      <w:bCs/>
      <w:sz w:val="20"/>
      <w:szCs w:val="20"/>
    </w:rPr>
  </w:style>
  <w:style w:type="paragraph" w:styleId="Revision">
    <w:name w:val="Revision"/>
    <w:hidden/>
    <w:uiPriority w:val="99"/>
    <w:semiHidden/>
    <w:rsid w:val="00E53F17"/>
  </w:style>
  <w:style w:type="character" w:styleId="Emphasis">
    <w:name w:val="Emphasis"/>
    <w:basedOn w:val="DefaultParagraphFont"/>
    <w:uiPriority w:val="20"/>
    <w:qFormat/>
    <w:rsid w:val="00CD43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09716">
      <w:bodyDiv w:val="1"/>
      <w:marLeft w:val="0"/>
      <w:marRight w:val="0"/>
      <w:marTop w:val="0"/>
      <w:marBottom w:val="0"/>
      <w:divBdr>
        <w:top w:val="none" w:sz="0" w:space="0" w:color="auto"/>
        <w:left w:val="none" w:sz="0" w:space="0" w:color="auto"/>
        <w:bottom w:val="none" w:sz="0" w:space="0" w:color="auto"/>
        <w:right w:val="none" w:sz="0" w:space="0" w:color="auto"/>
      </w:divBdr>
    </w:div>
    <w:div w:id="290091621">
      <w:bodyDiv w:val="1"/>
      <w:marLeft w:val="0"/>
      <w:marRight w:val="0"/>
      <w:marTop w:val="0"/>
      <w:marBottom w:val="0"/>
      <w:divBdr>
        <w:top w:val="none" w:sz="0" w:space="0" w:color="auto"/>
        <w:left w:val="none" w:sz="0" w:space="0" w:color="auto"/>
        <w:bottom w:val="none" w:sz="0" w:space="0" w:color="auto"/>
        <w:right w:val="none" w:sz="0" w:space="0" w:color="auto"/>
      </w:divBdr>
    </w:div>
    <w:div w:id="1218861496">
      <w:bodyDiv w:val="1"/>
      <w:marLeft w:val="0"/>
      <w:marRight w:val="0"/>
      <w:marTop w:val="0"/>
      <w:marBottom w:val="0"/>
      <w:divBdr>
        <w:top w:val="none" w:sz="0" w:space="0" w:color="auto"/>
        <w:left w:val="none" w:sz="0" w:space="0" w:color="auto"/>
        <w:bottom w:val="none" w:sz="0" w:space="0" w:color="auto"/>
        <w:right w:val="none" w:sz="0" w:space="0" w:color="auto"/>
      </w:divBdr>
    </w:div>
    <w:div w:id="1238324998">
      <w:bodyDiv w:val="1"/>
      <w:marLeft w:val="0"/>
      <w:marRight w:val="0"/>
      <w:marTop w:val="0"/>
      <w:marBottom w:val="0"/>
      <w:divBdr>
        <w:top w:val="none" w:sz="0" w:space="0" w:color="auto"/>
        <w:left w:val="none" w:sz="0" w:space="0" w:color="auto"/>
        <w:bottom w:val="none" w:sz="0" w:space="0" w:color="auto"/>
        <w:right w:val="none" w:sz="0" w:space="0" w:color="auto"/>
      </w:divBdr>
      <w:divsChild>
        <w:div w:id="144782899">
          <w:marLeft w:val="547"/>
          <w:marRight w:val="0"/>
          <w:marTop w:val="91"/>
          <w:marBottom w:val="0"/>
          <w:divBdr>
            <w:top w:val="none" w:sz="0" w:space="0" w:color="auto"/>
            <w:left w:val="none" w:sz="0" w:space="0" w:color="auto"/>
            <w:bottom w:val="none" w:sz="0" w:space="0" w:color="auto"/>
            <w:right w:val="none" w:sz="0" w:space="0" w:color="auto"/>
          </w:divBdr>
        </w:div>
      </w:divsChild>
    </w:div>
    <w:div w:id="1290015602">
      <w:bodyDiv w:val="1"/>
      <w:marLeft w:val="0"/>
      <w:marRight w:val="0"/>
      <w:marTop w:val="0"/>
      <w:marBottom w:val="0"/>
      <w:divBdr>
        <w:top w:val="none" w:sz="0" w:space="0" w:color="auto"/>
        <w:left w:val="none" w:sz="0" w:space="0" w:color="auto"/>
        <w:bottom w:val="none" w:sz="0" w:space="0" w:color="auto"/>
        <w:right w:val="none" w:sz="0" w:space="0" w:color="auto"/>
      </w:divBdr>
    </w:div>
    <w:div w:id="1454520185">
      <w:bodyDiv w:val="1"/>
      <w:marLeft w:val="0"/>
      <w:marRight w:val="0"/>
      <w:marTop w:val="0"/>
      <w:marBottom w:val="0"/>
      <w:divBdr>
        <w:top w:val="none" w:sz="0" w:space="0" w:color="auto"/>
        <w:left w:val="none" w:sz="0" w:space="0" w:color="auto"/>
        <w:bottom w:val="none" w:sz="0" w:space="0" w:color="auto"/>
        <w:right w:val="none" w:sz="0" w:space="0" w:color="auto"/>
      </w:divBdr>
    </w:div>
    <w:div w:id="1670251201">
      <w:bodyDiv w:val="1"/>
      <w:marLeft w:val="0"/>
      <w:marRight w:val="0"/>
      <w:marTop w:val="0"/>
      <w:marBottom w:val="0"/>
      <w:divBdr>
        <w:top w:val="none" w:sz="0" w:space="0" w:color="auto"/>
        <w:left w:val="none" w:sz="0" w:space="0" w:color="auto"/>
        <w:bottom w:val="none" w:sz="0" w:space="0" w:color="auto"/>
        <w:right w:val="none" w:sz="0" w:space="0" w:color="auto"/>
      </w:divBdr>
    </w:div>
    <w:div w:id="1806578000">
      <w:bodyDiv w:val="1"/>
      <w:marLeft w:val="0"/>
      <w:marRight w:val="0"/>
      <w:marTop w:val="0"/>
      <w:marBottom w:val="0"/>
      <w:divBdr>
        <w:top w:val="none" w:sz="0" w:space="0" w:color="auto"/>
        <w:left w:val="none" w:sz="0" w:space="0" w:color="auto"/>
        <w:bottom w:val="none" w:sz="0" w:space="0" w:color="auto"/>
        <w:right w:val="none" w:sz="0" w:space="0" w:color="auto"/>
      </w:divBdr>
    </w:div>
    <w:div w:id="1853761890">
      <w:bodyDiv w:val="1"/>
      <w:marLeft w:val="0"/>
      <w:marRight w:val="0"/>
      <w:marTop w:val="0"/>
      <w:marBottom w:val="0"/>
      <w:divBdr>
        <w:top w:val="none" w:sz="0" w:space="0" w:color="auto"/>
        <w:left w:val="none" w:sz="0" w:space="0" w:color="auto"/>
        <w:bottom w:val="none" w:sz="0" w:space="0" w:color="auto"/>
        <w:right w:val="none" w:sz="0" w:space="0" w:color="auto"/>
      </w:divBdr>
    </w:div>
    <w:div w:id="1858738460">
      <w:bodyDiv w:val="1"/>
      <w:marLeft w:val="0"/>
      <w:marRight w:val="0"/>
      <w:marTop w:val="0"/>
      <w:marBottom w:val="0"/>
      <w:divBdr>
        <w:top w:val="none" w:sz="0" w:space="0" w:color="auto"/>
        <w:left w:val="none" w:sz="0" w:space="0" w:color="auto"/>
        <w:bottom w:val="none" w:sz="0" w:space="0" w:color="auto"/>
        <w:right w:val="none" w:sz="0" w:space="0" w:color="auto"/>
      </w:divBdr>
      <w:divsChild>
        <w:div w:id="1563367165">
          <w:marLeft w:val="547"/>
          <w:marRight w:val="0"/>
          <w:marTop w:val="101"/>
          <w:marBottom w:val="0"/>
          <w:divBdr>
            <w:top w:val="none" w:sz="0" w:space="0" w:color="auto"/>
            <w:left w:val="none" w:sz="0" w:space="0" w:color="auto"/>
            <w:bottom w:val="none" w:sz="0" w:space="0" w:color="auto"/>
            <w:right w:val="none" w:sz="0" w:space="0" w:color="auto"/>
          </w:divBdr>
        </w:div>
      </w:divsChild>
    </w:div>
    <w:div w:id="2012833704">
      <w:bodyDiv w:val="1"/>
      <w:marLeft w:val="0"/>
      <w:marRight w:val="0"/>
      <w:marTop w:val="0"/>
      <w:marBottom w:val="0"/>
      <w:divBdr>
        <w:top w:val="none" w:sz="0" w:space="0" w:color="auto"/>
        <w:left w:val="none" w:sz="0" w:space="0" w:color="auto"/>
        <w:bottom w:val="none" w:sz="0" w:space="0" w:color="auto"/>
        <w:right w:val="none" w:sz="0" w:space="0" w:color="auto"/>
      </w:divBdr>
    </w:div>
    <w:div w:id="2028211601">
      <w:bodyDiv w:val="1"/>
      <w:marLeft w:val="0"/>
      <w:marRight w:val="0"/>
      <w:marTop w:val="0"/>
      <w:marBottom w:val="0"/>
      <w:divBdr>
        <w:top w:val="none" w:sz="0" w:space="0" w:color="auto"/>
        <w:left w:val="none" w:sz="0" w:space="0" w:color="auto"/>
        <w:bottom w:val="none" w:sz="0" w:space="0" w:color="auto"/>
        <w:right w:val="none" w:sz="0" w:space="0" w:color="auto"/>
      </w:divBdr>
    </w:div>
    <w:div w:id="2075158358">
      <w:bodyDiv w:val="1"/>
      <w:marLeft w:val="0"/>
      <w:marRight w:val="0"/>
      <w:marTop w:val="0"/>
      <w:marBottom w:val="0"/>
      <w:divBdr>
        <w:top w:val="none" w:sz="0" w:space="0" w:color="auto"/>
        <w:left w:val="none" w:sz="0" w:space="0" w:color="auto"/>
        <w:bottom w:val="none" w:sz="0" w:space="0" w:color="auto"/>
        <w:right w:val="none" w:sz="0" w:space="0" w:color="auto"/>
      </w:divBdr>
      <w:divsChild>
        <w:div w:id="2039309229">
          <w:marLeft w:val="0"/>
          <w:marRight w:val="0"/>
          <w:marTop w:val="0"/>
          <w:marBottom w:val="120"/>
          <w:divBdr>
            <w:top w:val="none" w:sz="0" w:space="0" w:color="auto"/>
            <w:left w:val="none" w:sz="0" w:space="0" w:color="auto"/>
            <w:bottom w:val="none" w:sz="0" w:space="0" w:color="auto"/>
            <w:right w:val="none" w:sz="0" w:space="0" w:color="auto"/>
          </w:divBdr>
        </w:div>
        <w:div w:id="344670189">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cfois.scot" TargetMode="External"/><Relationship Id="rId4" Type="http://schemas.openxmlformats.org/officeDocument/2006/relationships/settings" Target="settings.xml"/><Relationship Id="rId9" Type="http://schemas.openxmlformats.org/officeDocument/2006/relationships/hyperlink" Target="https://www.parliament.scot/bills-and-laws/bills/coronavirus-extension-and-expiry-scotland-bil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n.unesco.org/commemorations/accesstoinformationday" TargetMode="External"/><Relationship Id="rId3" Type="http://schemas.openxmlformats.org/officeDocument/2006/relationships/hyperlink" Target="https://www.ohchr.org/en/professionalinterest/pages/ccpr.aspx" TargetMode="External"/><Relationship Id="rId7" Type="http://schemas.openxmlformats.org/officeDocument/2006/relationships/hyperlink" Target="https://www.legislation.gov.uk/asp/2020/10/section/6/enacted" TargetMode="External"/><Relationship Id="rId2" Type="http://schemas.openxmlformats.org/officeDocument/2006/relationships/hyperlink" Target="http://www.itspublicknowledge.info/home/ScottishInformationCommissioner.aspx" TargetMode="External"/><Relationship Id="rId1" Type="http://schemas.openxmlformats.org/officeDocument/2006/relationships/hyperlink" Target="https://unesdoc.unesco.org/ark:/48223/pf0000379069.locale=en" TargetMode="External"/><Relationship Id="rId6" Type="http://schemas.openxmlformats.org/officeDocument/2006/relationships/hyperlink" Target="https://www.gov.scot/publications/freedom-information-extension-coverage-consultation-analysis/" TargetMode="External"/><Relationship Id="rId5" Type="http://schemas.openxmlformats.org/officeDocument/2006/relationships/hyperlink" Target="https://www.gov.scot/publications/roles-responsibilities-membership-integration-joint-board/pages/2/" TargetMode="External"/><Relationship Id="rId4" Type="http://schemas.openxmlformats.org/officeDocument/2006/relationships/hyperlink" Target="https://www.gov.scot/publications/exercise-iris-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B3C36-05E1-CE48-B267-E3CBD470F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1565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pcworld</dc:creator>
  <cp:keywords/>
  <dc:description/>
  <cp:lastModifiedBy>Carole Ewart</cp:lastModifiedBy>
  <cp:revision>6</cp:revision>
  <dcterms:created xsi:type="dcterms:W3CDTF">2021-10-01T11:10:00Z</dcterms:created>
  <dcterms:modified xsi:type="dcterms:W3CDTF">2021-10-01T12:14:00Z</dcterms:modified>
</cp:coreProperties>
</file>