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A123" w14:textId="75A63A13" w:rsidR="005C208B" w:rsidRDefault="005C208B" w:rsidP="005C208B">
      <w:pPr>
        <w:pStyle w:val="ListParagraph"/>
        <w:rPr>
          <w:b/>
          <w:bCs/>
          <w:sz w:val="28"/>
        </w:rPr>
      </w:pPr>
      <w:r>
        <w:rPr>
          <w:rFonts w:eastAsia="Times New Roman"/>
          <w:b/>
          <w:bCs/>
          <w:noProof/>
          <w:color w:val="000000"/>
          <w:sz w:val="19"/>
          <w:szCs w:val="19"/>
          <w:lang w:val="en-US"/>
        </w:rPr>
        <w:drawing>
          <wp:anchor distT="0" distB="0" distL="114300" distR="114300" simplePos="0" relativeHeight="251660800" behindDoc="0" locked="0" layoutInCell="1" allowOverlap="1" wp14:anchorId="4BD1F2C2" wp14:editId="454BDF4E">
            <wp:simplePos x="0" y="0"/>
            <wp:positionH relativeFrom="margin">
              <wp:align>left</wp:align>
            </wp:positionH>
            <wp:positionV relativeFrom="paragraph">
              <wp:posOffset>200025</wp:posOffset>
            </wp:positionV>
            <wp:extent cx="2219325" cy="1110615"/>
            <wp:effectExtent l="0" t="0" r="9525" b="0"/>
            <wp:wrapSquare wrapText="bothSides"/>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1110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2FF9C6B" w14:textId="77777777" w:rsidR="005C208B" w:rsidRDefault="005C208B" w:rsidP="005C208B">
      <w:pPr>
        <w:pStyle w:val="ListParagraph"/>
        <w:rPr>
          <w:b/>
          <w:bCs/>
          <w:sz w:val="28"/>
        </w:rPr>
      </w:pPr>
    </w:p>
    <w:p w14:paraId="13A52711" w14:textId="77777777" w:rsidR="005C208B" w:rsidRDefault="005C208B" w:rsidP="005C208B">
      <w:pPr>
        <w:pStyle w:val="ListParagraph"/>
        <w:rPr>
          <w:b/>
          <w:bCs/>
          <w:sz w:val="28"/>
        </w:rPr>
      </w:pPr>
    </w:p>
    <w:p w14:paraId="28D096B4" w14:textId="77777777" w:rsidR="005C208B" w:rsidRDefault="005C208B" w:rsidP="005C208B">
      <w:pPr>
        <w:pStyle w:val="ListParagraph"/>
        <w:rPr>
          <w:b/>
          <w:bCs/>
          <w:sz w:val="28"/>
        </w:rPr>
      </w:pPr>
    </w:p>
    <w:p w14:paraId="54384F10" w14:textId="77777777" w:rsidR="005C208B" w:rsidRPr="005C208B" w:rsidRDefault="005C208B" w:rsidP="005C208B">
      <w:pPr>
        <w:rPr>
          <w:b/>
          <w:bCs/>
          <w:sz w:val="28"/>
        </w:rPr>
      </w:pPr>
    </w:p>
    <w:p w14:paraId="5AB7729E" w14:textId="77777777" w:rsidR="005C208B" w:rsidRDefault="005C208B" w:rsidP="005C208B">
      <w:pPr>
        <w:pStyle w:val="ListParagraph"/>
        <w:rPr>
          <w:b/>
          <w:bCs/>
          <w:sz w:val="28"/>
        </w:rPr>
      </w:pPr>
    </w:p>
    <w:p w14:paraId="29588E67" w14:textId="77777777" w:rsidR="0033399F" w:rsidRDefault="0033399F" w:rsidP="0033399F">
      <w:pPr>
        <w:jc w:val="center"/>
      </w:pPr>
    </w:p>
    <w:p w14:paraId="455BBD04" w14:textId="77777777" w:rsidR="0033399F" w:rsidRPr="00507640" w:rsidRDefault="0033399F" w:rsidP="0033399F">
      <w:pPr>
        <w:tabs>
          <w:tab w:val="left" w:pos="3870"/>
        </w:tabs>
        <w:jc w:val="center"/>
        <w:rPr>
          <w:b/>
          <w:bCs/>
          <w:sz w:val="28"/>
        </w:rPr>
      </w:pPr>
      <w:r w:rsidRPr="00507640">
        <w:rPr>
          <w:b/>
          <w:bCs/>
          <w:sz w:val="28"/>
        </w:rPr>
        <w:t>UPR of United Kingdom of Great Brita</w:t>
      </w:r>
      <w:r>
        <w:rPr>
          <w:b/>
          <w:bCs/>
          <w:sz w:val="28"/>
        </w:rPr>
        <w:t>i</w:t>
      </w:r>
      <w:r w:rsidRPr="00507640">
        <w:rPr>
          <w:b/>
          <w:bCs/>
          <w:sz w:val="28"/>
        </w:rPr>
        <w:t>n and Northern Ireland</w:t>
      </w:r>
    </w:p>
    <w:p w14:paraId="6B6F13BF" w14:textId="77777777" w:rsidR="0033399F" w:rsidRDefault="0033399F" w:rsidP="0033399F">
      <w:pPr>
        <w:jc w:val="center"/>
        <w:rPr>
          <w:b/>
          <w:bCs/>
          <w:sz w:val="28"/>
        </w:rPr>
      </w:pPr>
      <w:r>
        <w:rPr>
          <w:b/>
          <w:bCs/>
          <w:sz w:val="28"/>
        </w:rPr>
        <w:t xml:space="preserve">Submission from the </w:t>
      </w:r>
    </w:p>
    <w:p w14:paraId="1F5589AA" w14:textId="77777777" w:rsidR="0033399F" w:rsidRDefault="0033399F" w:rsidP="0033399F">
      <w:pPr>
        <w:jc w:val="center"/>
        <w:rPr>
          <w:b/>
          <w:bCs/>
          <w:sz w:val="28"/>
        </w:rPr>
      </w:pPr>
      <w:r>
        <w:rPr>
          <w:b/>
          <w:bCs/>
          <w:sz w:val="28"/>
        </w:rPr>
        <w:t>Campaign for Freedom of Information in Scotland (CFoIS)</w:t>
      </w:r>
    </w:p>
    <w:p w14:paraId="2F8EFB3A" w14:textId="77777777" w:rsidR="0033399F" w:rsidRDefault="0033399F" w:rsidP="0033399F">
      <w:pPr>
        <w:rPr>
          <w:b/>
          <w:bCs/>
          <w:sz w:val="28"/>
        </w:rPr>
      </w:pPr>
    </w:p>
    <w:p w14:paraId="1B48A9F4" w14:textId="77777777" w:rsidR="0033399F" w:rsidRDefault="0033399F" w:rsidP="0033399F">
      <w:pPr>
        <w:rPr>
          <w:b/>
          <w:bCs/>
          <w:sz w:val="28"/>
        </w:rPr>
      </w:pPr>
      <w:r>
        <w:rPr>
          <w:b/>
          <w:bCs/>
          <w:sz w:val="28"/>
        </w:rPr>
        <w:t>About CFoIS</w:t>
      </w:r>
    </w:p>
    <w:p w14:paraId="4DACACDD" w14:textId="77777777" w:rsidR="0033399F" w:rsidRDefault="0033399F" w:rsidP="0033399F">
      <w:pPr>
        <w:rPr>
          <w:szCs w:val="24"/>
        </w:rPr>
      </w:pPr>
      <w:r>
        <w:rPr>
          <w:szCs w:val="24"/>
        </w:rPr>
        <w:t xml:space="preserve">CFoIS was established in 1984 campaigns for robust, accessible and enforceable access to information rights.  CFoIS believes that policy and practice on transparency and accountability should keep pace with the needs of a modern democracy.   </w:t>
      </w:r>
      <w:r w:rsidRPr="00590519">
        <w:rPr>
          <w:szCs w:val="24"/>
        </w:rPr>
        <w:t xml:space="preserve">CFoIS offers comment and scrutiny on law and policy, as well as encouraging people to be ‘rights aware’. </w:t>
      </w:r>
      <w:r>
        <w:rPr>
          <w:szCs w:val="24"/>
        </w:rPr>
        <w:t xml:space="preserve"> In September 2021, </w:t>
      </w:r>
      <w:r>
        <w:t>CFoIS became a</w:t>
      </w:r>
      <w:r w:rsidRPr="00414358">
        <w:rPr>
          <w:color w:val="000000"/>
          <w:shd w:val="clear" w:color="auto" w:fill="FFFFFF"/>
          <w:lang w:val="en-US"/>
        </w:rPr>
        <w:t xml:space="preserve"> Scottish Charitable Incorporated Organisation (SCIO), number is SC051263.  </w:t>
      </w:r>
      <w:r>
        <w:rPr>
          <w:szCs w:val="24"/>
        </w:rPr>
        <w:t xml:space="preserve">CFoIS is independent of government.  CFoIS receives funds from donations and project grants.  </w:t>
      </w:r>
    </w:p>
    <w:p w14:paraId="74706F1A" w14:textId="77777777" w:rsidR="0033399F" w:rsidRDefault="0033399F" w:rsidP="0033399F">
      <w:pPr>
        <w:rPr>
          <w:szCs w:val="24"/>
        </w:rPr>
      </w:pPr>
    </w:p>
    <w:p w14:paraId="5459FA43" w14:textId="4AB4FEA6" w:rsidR="00FE0CD1" w:rsidRDefault="00A56D57" w:rsidP="007F5576">
      <w:pPr>
        <w:pStyle w:val="ListParagraph"/>
        <w:numPr>
          <w:ilvl w:val="0"/>
          <w:numId w:val="23"/>
        </w:numPr>
        <w:rPr>
          <w:b/>
          <w:bCs/>
          <w:sz w:val="28"/>
        </w:rPr>
      </w:pPr>
      <w:r>
        <w:rPr>
          <w:b/>
          <w:bCs/>
          <w:sz w:val="28"/>
        </w:rPr>
        <w:t>Introduction</w:t>
      </w:r>
    </w:p>
    <w:p w14:paraId="30C75978" w14:textId="7C8CA4DF" w:rsidR="00FE0CD1" w:rsidRPr="00FE0CD1" w:rsidRDefault="00FE0CD1" w:rsidP="00FE0CD1">
      <w:pPr>
        <w:rPr>
          <w:szCs w:val="24"/>
        </w:rPr>
      </w:pPr>
      <w:r w:rsidRPr="00FE0CD1">
        <w:rPr>
          <w:szCs w:val="24"/>
        </w:rPr>
        <w:t xml:space="preserve">CFoIS </w:t>
      </w:r>
      <w:r w:rsidR="00DE2B85">
        <w:rPr>
          <w:szCs w:val="24"/>
        </w:rPr>
        <w:t>welcomes this opportunity</w:t>
      </w:r>
      <w:r w:rsidRPr="00FE0CD1">
        <w:rPr>
          <w:szCs w:val="24"/>
        </w:rPr>
        <w:t xml:space="preserve"> to declare what actions the</w:t>
      </w:r>
      <w:r w:rsidR="00DE2B85">
        <w:rPr>
          <w:szCs w:val="24"/>
        </w:rPr>
        <w:t xml:space="preserve"> UK has</w:t>
      </w:r>
      <w:r w:rsidRPr="00FE0CD1">
        <w:rPr>
          <w:szCs w:val="24"/>
        </w:rPr>
        <w:t xml:space="preserve"> taken to improve human right</w:t>
      </w:r>
      <w:r w:rsidR="00F0796E">
        <w:rPr>
          <w:szCs w:val="24"/>
        </w:rPr>
        <w:t>s</w:t>
      </w:r>
      <w:r w:rsidRPr="00FE0CD1">
        <w:rPr>
          <w:szCs w:val="24"/>
        </w:rPr>
        <w:t xml:space="preserve"> and to fulfil </w:t>
      </w:r>
      <w:r w:rsidR="003F605C">
        <w:rPr>
          <w:szCs w:val="24"/>
        </w:rPr>
        <w:t>its</w:t>
      </w:r>
      <w:r w:rsidRPr="00FE0CD1">
        <w:rPr>
          <w:szCs w:val="24"/>
        </w:rPr>
        <w:t xml:space="preserve"> human rights obligations</w:t>
      </w:r>
      <w:r w:rsidR="004C7538">
        <w:rPr>
          <w:szCs w:val="24"/>
        </w:rPr>
        <w:t xml:space="preserve"> across </w:t>
      </w:r>
      <w:r w:rsidR="00E87E00">
        <w:rPr>
          <w:szCs w:val="24"/>
        </w:rPr>
        <w:t>two</w:t>
      </w:r>
      <w:r w:rsidR="00F0796E">
        <w:rPr>
          <w:szCs w:val="24"/>
        </w:rPr>
        <w:t xml:space="preserve"> themes</w:t>
      </w:r>
      <w:r w:rsidR="00A25BCB">
        <w:rPr>
          <w:szCs w:val="24"/>
        </w:rPr>
        <w:t xml:space="preserve"> for action</w:t>
      </w:r>
      <w:r w:rsidR="00F0796E">
        <w:rPr>
          <w:szCs w:val="24"/>
        </w:rPr>
        <w:t xml:space="preserve"> identified by the Human Rights Council in 2017: </w:t>
      </w:r>
      <w:r w:rsidR="00E87E00">
        <w:rPr>
          <w:szCs w:val="24"/>
        </w:rPr>
        <w:t xml:space="preserve">the </w:t>
      </w:r>
      <w:r w:rsidR="00F0796E">
        <w:t>domestic human rights framework</w:t>
      </w:r>
      <w:r w:rsidR="00E87E00">
        <w:t xml:space="preserve"> and</w:t>
      </w:r>
      <w:r w:rsidR="00F0796E">
        <w:t xml:space="preserve"> access to justice</w:t>
      </w:r>
      <w:r w:rsidR="00E87E00">
        <w:t xml:space="preserve">. </w:t>
      </w:r>
    </w:p>
    <w:p w14:paraId="14122BD7" w14:textId="77777777" w:rsidR="00FE0CD1" w:rsidRPr="00FE0CD1" w:rsidRDefault="00FE0CD1" w:rsidP="00FE0CD1">
      <w:pPr>
        <w:rPr>
          <w:szCs w:val="24"/>
        </w:rPr>
      </w:pPr>
    </w:p>
    <w:p w14:paraId="65719F15" w14:textId="119D2325" w:rsidR="007F5576" w:rsidRPr="007F5576" w:rsidRDefault="007F5576" w:rsidP="007F5576">
      <w:pPr>
        <w:pStyle w:val="ListParagraph"/>
        <w:numPr>
          <w:ilvl w:val="0"/>
          <w:numId w:val="23"/>
        </w:numPr>
        <w:rPr>
          <w:b/>
          <w:bCs/>
          <w:sz w:val="28"/>
        </w:rPr>
      </w:pPr>
      <w:r w:rsidRPr="007F5576">
        <w:rPr>
          <w:b/>
          <w:bCs/>
          <w:sz w:val="28"/>
        </w:rPr>
        <w:t>Territorial Application</w:t>
      </w:r>
    </w:p>
    <w:p w14:paraId="5F4B222E" w14:textId="585509BF" w:rsidR="007F5576" w:rsidRDefault="00314F96" w:rsidP="008D1018">
      <w:pPr>
        <w:rPr>
          <w:szCs w:val="24"/>
        </w:rPr>
      </w:pPr>
      <w:r w:rsidRPr="00507640">
        <w:t>T</w:t>
      </w:r>
      <w:r w:rsidR="003B013D" w:rsidRPr="00507640">
        <w:t xml:space="preserve">he </w:t>
      </w:r>
      <w:r w:rsidR="00507640">
        <w:t>UPR is examining the</w:t>
      </w:r>
      <w:r w:rsidRPr="00507640">
        <w:t xml:space="preserve"> </w:t>
      </w:r>
      <w:r w:rsidR="003B013D" w:rsidRPr="00507640">
        <w:t>United Kingdom</w:t>
      </w:r>
      <w:r w:rsidR="00E87E00">
        <w:t xml:space="preserve"> of</w:t>
      </w:r>
      <w:r w:rsidR="00507640" w:rsidRPr="00507640">
        <w:t xml:space="preserve"> </w:t>
      </w:r>
      <w:r w:rsidR="00507640">
        <w:t xml:space="preserve">Great Britain </w:t>
      </w:r>
      <w:r w:rsidR="00507640" w:rsidRPr="00507640">
        <w:t xml:space="preserve">and Northern Ireland.   CFoIS is concerned about transparency and accountability for the delivery of rights and fulfilment of responsibilities </w:t>
      </w:r>
      <w:r w:rsidR="00624A00">
        <w:t>to ‘</w:t>
      </w:r>
      <w:r w:rsidR="00624A00" w:rsidRPr="00E87E00">
        <w:rPr>
          <w:color w:val="454545"/>
          <w:spacing w:val="-5"/>
          <w:shd w:val="clear" w:color="auto" w:fill="FFFFFF"/>
        </w:rPr>
        <w:t xml:space="preserve">the peoples of territories under </w:t>
      </w:r>
      <w:r w:rsidR="000A043B" w:rsidRPr="00E87E00">
        <w:rPr>
          <w:color w:val="454545"/>
          <w:spacing w:val="-5"/>
          <w:shd w:val="clear" w:color="auto" w:fill="FFFFFF"/>
        </w:rPr>
        <w:t>its</w:t>
      </w:r>
      <w:r w:rsidR="00624A00" w:rsidRPr="00E87E00">
        <w:rPr>
          <w:color w:val="454545"/>
          <w:spacing w:val="-5"/>
          <w:shd w:val="clear" w:color="auto" w:fill="FFFFFF"/>
        </w:rPr>
        <w:t xml:space="preserve"> jurisdiction’</w:t>
      </w:r>
      <w:r w:rsidR="00624A00">
        <w:rPr>
          <w:rFonts w:ascii="Roboto" w:hAnsi="Roboto"/>
          <w:color w:val="454545"/>
          <w:spacing w:val="-5"/>
          <w:shd w:val="clear" w:color="auto" w:fill="FFFFFF"/>
        </w:rPr>
        <w:t>.</w:t>
      </w:r>
      <w:r w:rsidR="00624A00">
        <w:rPr>
          <w:rStyle w:val="EndnoteReference"/>
          <w:rFonts w:ascii="Roboto" w:hAnsi="Roboto"/>
          <w:color w:val="454545"/>
          <w:spacing w:val="-5"/>
          <w:shd w:val="clear" w:color="auto" w:fill="FFFFFF"/>
        </w:rPr>
        <w:endnoteReference w:id="1"/>
      </w:r>
      <w:r w:rsidR="00507640" w:rsidRPr="00507640">
        <w:t xml:space="preserve"> </w:t>
      </w:r>
      <w:r w:rsidR="000A043B">
        <w:t xml:space="preserve">The UK has </w:t>
      </w:r>
      <w:r w:rsidR="00507640" w:rsidRPr="00507640">
        <w:t xml:space="preserve">responsibility </w:t>
      </w:r>
      <w:r w:rsidR="00E87E00">
        <w:t>for</w:t>
      </w:r>
      <w:r w:rsidR="00507640" w:rsidRPr="00507640">
        <w:t xml:space="preserve"> the British Overseas Territories and the Crown Dependencies</w:t>
      </w:r>
      <w:r w:rsidR="000A043B">
        <w:t>.  T</w:t>
      </w:r>
      <w:r w:rsidR="00507640" w:rsidRPr="00507640">
        <w:t>he Committee</w:t>
      </w:r>
      <w:r w:rsidR="000A043B">
        <w:t xml:space="preserve"> on Economic, Social and Cultural Rights </w:t>
      </w:r>
      <w:r w:rsidR="00507640" w:rsidRPr="00507640">
        <w:t>regret</w:t>
      </w:r>
      <w:r w:rsidR="001A29A4">
        <w:t>ted</w:t>
      </w:r>
      <w:r w:rsidR="00507640" w:rsidRPr="00507640">
        <w:t xml:space="preserve"> the limited information available on the enjoyment of economic, social and cultural rights in the British Overseas Territories and the Crown Dependencies (art. 2).</w:t>
      </w:r>
      <w:r w:rsidR="000A043B">
        <w:t>’</w:t>
      </w:r>
      <w:r w:rsidR="000A043B">
        <w:rPr>
          <w:rStyle w:val="EndnoteReference"/>
        </w:rPr>
        <w:endnoteReference w:id="2"/>
      </w:r>
      <w:r w:rsidR="00C60F03">
        <w:t xml:space="preserve">  </w:t>
      </w:r>
      <w:r w:rsidR="001A29A4">
        <w:t xml:space="preserve">As the administering power, the </w:t>
      </w:r>
      <w:r w:rsidR="00847879">
        <w:t xml:space="preserve">UK has </w:t>
      </w:r>
      <w:r w:rsidR="00507640" w:rsidRPr="00507640">
        <w:t xml:space="preserve">ultimate responsibility for the implementation of </w:t>
      </w:r>
      <w:r w:rsidR="00847879">
        <w:t>human rights</w:t>
      </w:r>
      <w:r w:rsidR="00507640" w:rsidRPr="00507640">
        <w:t xml:space="preserve"> in all</w:t>
      </w:r>
      <w:r w:rsidR="00847879">
        <w:t xml:space="preserve"> and across</w:t>
      </w:r>
      <w:r w:rsidR="00507640" w:rsidRPr="00507640">
        <w:t xml:space="preserve"> its jurisdictions</w:t>
      </w:r>
      <w:r w:rsidR="00E87E00">
        <w:t xml:space="preserve"> </w:t>
      </w:r>
      <w:r w:rsidR="00847879">
        <w:t xml:space="preserve">including the </w:t>
      </w:r>
      <w:r w:rsidR="003B013D" w:rsidRPr="003B013D">
        <w:rPr>
          <w:szCs w:val="24"/>
        </w:rPr>
        <w:t>Cayman</w:t>
      </w:r>
      <w:r w:rsidR="002F38D0" w:rsidRPr="003B013D">
        <w:rPr>
          <w:szCs w:val="24"/>
        </w:rPr>
        <w:t xml:space="preserve"> Islands</w:t>
      </w:r>
      <w:r w:rsidR="00847879">
        <w:rPr>
          <w:szCs w:val="24"/>
        </w:rPr>
        <w:t>.</w:t>
      </w:r>
    </w:p>
    <w:p w14:paraId="36E84E51" w14:textId="794C8284" w:rsidR="00847879" w:rsidRDefault="00847879" w:rsidP="008D1018">
      <w:pPr>
        <w:rPr>
          <w:szCs w:val="24"/>
        </w:rPr>
      </w:pPr>
    </w:p>
    <w:p w14:paraId="317CA8C8" w14:textId="46F5F118" w:rsidR="00847879" w:rsidRPr="00385875" w:rsidRDefault="00847879" w:rsidP="00847879">
      <w:pPr>
        <w:rPr>
          <w:rFonts w:eastAsia="Times New Roman"/>
          <w:szCs w:val="24"/>
          <w:lang w:val="en-US"/>
        </w:rPr>
      </w:pPr>
      <w:r>
        <w:t>Affluent investors can put their money offshore in places such as t</w:t>
      </w:r>
      <w:r>
        <w:rPr>
          <w:rFonts w:eastAsia="Times New Roman"/>
          <w:szCs w:val="24"/>
          <w:lang w:val="en-US"/>
        </w:rPr>
        <w:t xml:space="preserve">he Cayman Islands, which </w:t>
      </w:r>
      <w:r w:rsidR="00E87E00">
        <w:rPr>
          <w:rFonts w:eastAsia="Times New Roman"/>
          <w:szCs w:val="24"/>
          <w:lang w:val="en-US"/>
        </w:rPr>
        <w:t>is</w:t>
      </w:r>
      <w:r>
        <w:rPr>
          <w:rFonts w:eastAsia="Times New Roman"/>
          <w:szCs w:val="24"/>
          <w:lang w:val="en-US"/>
        </w:rPr>
        <w:t xml:space="preserve"> a </w:t>
      </w:r>
      <w:r>
        <w:t xml:space="preserve">Non-Self-Governing Territory.  The absence of transparency and accountability in the process, is an established </w:t>
      </w:r>
      <w:r w:rsidR="00E87E00">
        <w:t xml:space="preserve">domestic </w:t>
      </w:r>
      <w:r>
        <w:t>concern</w:t>
      </w:r>
      <w:r w:rsidR="00E87E00">
        <w:t xml:space="preserve">.   </w:t>
      </w:r>
      <w:r w:rsidRPr="00385875">
        <w:rPr>
          <w:rFonts w:eastAsia="Times New Roman"/>
          <w:szCs w:val="24"/>
          <w:lang w:val="en-US"/>
        </w:rPr>
        <w:t xml:space="preserve">Annually, the UN </w:t>
      </w:r>
      <w:r w:rsidRPr="00385875">
        <w:rPr>
          <w:rFonts w:ascii="Roboto" w:hAnsi="Roboto"/>
          <w:spacing w:val="-5"/>
          <w:shd w:val="clear" w:color="auto" w:fill="FFFFFF"/>
        </w:rPr>
        <w:t>General Assembly adopts a resolution</w:t>
      </w:r>
      <w:r w:rsidRPr="00385875">
        <w:rPr>
          <w:rFonts w:eastAsia="Times New Roman"/>
          <w:szCs w:val="24"/>
          <w:lang w:val="en-US"/>
        </w:rPr>
        <w:t xml:space="preserve"> </w:t>
      </w:r>
      <w:r w:rsidRPr="00385875">
        <w:rPr>
          <w:rFonts w:ascii="Roboto" w:hAnsi="Roboto"/>
          <w:spacing w:val="-5"/>
          <w:shd w:val="clear" w:color="auto" w:fill="FFFFFF"/>
        </w:rPr>
        <w:t>registering its concern that the territory is still not independent as well as what happens there and its global impact.</w:t>
      </w:r>
      <w:r w:rsidRPr="00385875">
        <w:rPr>
          <w:rStyle w:val="EndnoteReference"/>
          <w:rFonts w:eastAsia="Times New Roman"/>
          <w:szCs w:val="24"/>
          <w:lang w:val="en-US"/>
        </w:rPr>
        <w:endnoteReference w:id="3"/>
      </w:r>
      <w:r w:rsidRPr="00385875">
        <w:rPr>
          <w:rFonts w:eastAsia="Times New Roman"/>
          <w:szCs w:val="24"/>
          <w:lang w:val="en-US"/>
        </w:rPr>
        <w:t xml:space="preserve"> On 10</w:t>
      </w:r>
      <w:r w:rsidRPr="00385875">
        <w:rPr>
          <w:rFonts w:eastAsia="Times New Roman"/>
          <w:szCs w:val="24"/>
          <w:vertAlign w:val="superscript"/>
          <w:lang w:val="en-US"/>
        </w:rPr>
        <w:t>th</w:t>
      </w:r>
      <w:r w:rsidRPr="00385875">
        <w:rPr>
          <w:rFonts w:eastAsia="Times New Roman"/>
          <w:szCs w:val="24"/>
          <w:lang w:val="en-US"/>
        </w:rPr>
        <w:t xml:space="preserve"> December 2020, the UN General Assembly passed a resolution:</w:t>
      </w:r>
    </w:p>
    <w:p w14:paraId="0E8E79A6" w14:textId="77777777" w:rsidR="00847879" w:rsidRDefault="00847879" w:rsidP="00650DFC">
      <w:pPr>
        <w:pStyle w:val="ListParagraph"/>
        <w:numPr>
          <w:ilvl w:val="0"/>
          <w:numId w:val="25"/>
        </w:numPr>
      </w:pPr>
      <w:r>
        <w:t xml:space="preserve">“Expressing concern that 60 years after the adoption of the Declaration on the Granting of Independence to Colonial Countries and Peoples, 3 there </w:t>
      </w:r>
      <w:proofErr w:type="gramStart"/>
      <w:r>
        <w:t>still remain</w:t>
      </w:r>
      <w:proofErr w:type="gramEnd"/>
      <w:r>
        <w:t xml:space="preserve"> 17 Non-Self-Governing Territories, including the Cayman Islands,</w:t>
      </w:r>
    </w:p>
    <w:p w14:paraId="729B3262" w14:textId="77777777" w:rsidR="00847879" w:rsidRPr="0012091C" w:rsidRDefault="00847879" w:rsidP="00847879">
      <w:pPr>
        <w:pStyle w:val="ListParagraph"/>
        <w:numPr>
          <w:ilvl w:val="0"/>
          <w:numId w:val="25"/>
        </w:numPr>
        <w:rPr>
          <w:rFonts w:eastAsia="Times New Roman"/>
          <w:szCs w:val="24"/>
          <w:lang w:val="en-US"/>
        </w:rPr>
      </w:pPr>
      <w:r>
        <w:lastRenderedPageBreak/>
        <w:t>“Concerned by the use and exploitation of the natural resources of the Non-Self Governing Territories by the administering Powers for their benefit, by the use of the Territories as international financial centres to the detriment of the world economy and by the consequences of any economic activities of the administering Powers that are contrary to the interests of the people of the Territories …”</w:t>
      </w:r>
      <w:r>
        <w:rPr>
          <w:rStyle w:val="EndnoteReference"/>
        </w:rPr>
        <w:endnoteReference w:id="4"/>
      </w:r>
    </w:p>
    <w:p w14:paraId="46E8C4E6" w14:textId="77777777" w:rsidR="00847879" w:rsidRDefault="00847879" w:rsidP="00847879">
      <w:pPr>
        <w:rPr>
          <w:rFonts w:eastAsia="Times New Roman"/>
          <w:szCs w:val="24"/>
          <w:lang w:val="en-US"/>
        </w:rPr>
      </w:pPr>
    </w:p>
    <w:p w14:paraId="24AA957D" w14:textId="040B4569" w:rsidR="00D6407E" w:rsidRDefault="00650DFC" w:rsidP="00847879">
      <w:pPr>
        <w:rPr>
          <w:rFonts w:eastAsia="Times New Roman"/>
          <w:szCs w:val="24"/>
          <w:lang w:val="en-US"/>
        </w:rPr>
      </w:pPr>
      <w:r>
        <w:rPr>
          <w:rFonts w:eastAsia="Times New Roman"/>
          <w:szCs w:val="24"/>
          <w:lang w:val="en-US"/>
        </w:rPr>
        <w:t>T</w:t>
      </w:r>
      <w:r w:rsidR="00847879">
        <w:rPr>
          <w:rFonts w:eastAsia="Times New Roman"/>
          <w:szCs w:val="24"/>
          <w:lang w:val="en-US"/>
        </w:rPr>
        <w:t xml:space="preserve">he impact of the financial regime </w:t>
      </w:r>
      <w:r>
        <w:rPr>
          <w:rFonts w:eastAsia="Times New Roman"/>
          <w:szCs w:val="24"/>
          <w:lang w:val="en-US"/>
        </w:rPr>
        <w:t xml:space="preserve">permitted by the UK in the </w:t>
      </w:r>
      <w:r w:rsidR="004C7538">
        <w:rPr>
          <w:rFonts w:eastAsia="Times New Roman"/>
          <w:szCs w:val="24"/>
          <w:lang w:val="en-US"/>
        </w:rPr>
        <w:t>Cayman Islands</w:t>
      </w:r>
      <w:r>
        <w:rPr>
          <w:rFonts w:eastAsia="Times New Roman"/>
          <w:szCs w:val="24"/>
          <w:lang w:val="en-US"/>
        </w:rPr>
        <w:t xml:space="preserve"> is a human rights issue. T</w:t>
      </w:r>
      <w:r w:rsidR="00847879">
        <w:rPr>
          <w:rFonts w:eastAsia="Times New Roman"/>
          <w:szCs w:val="24"/>
          <w:lang w:val="en-US"/>
        </w:rPr>
        <w:t>he opaque/secret financial setup</w:t>
      </w:r>
      <w:r>
        <w:rPr>
          <w:rFonts w:eastAsia="Times New Roman"/>
          <w:szCs w:val="24"/>
          <w:lang w:val="en-US"/>
        </w:rPr>
        <w:t xml:space="preserve"> directly impacts on transparency, </w:t>
      </w:r>
      <w:proofErr w:type="gramStart"/>
      <w:r>
        <w:rPr>
          <w:rFonts w:eastAsia="Times New Roman"/>
          <w:szCs w:val="24"/>
          <w:lang w:val="en-US"/>
        </w:rPr>
        <w:t>accountability</w:t>
      </w:r>
      <w:proofErr w:type="gramEnd"/>
      <w:r>
        <w:rPr>
          <w:rFonts w:eastAsia="Times New Roman"/>
          <w:szCs w:val="24"/>
          <w:lang w:val="en-US"/>
        </w:rPr>
        <w:t xml:space="preserve"> and </w:t>
      </w:r>
      <w:r w:rsidR="0076056B">
        <w:rPr>
          <w:rFonts w:eastAsia="Times New Roman"/>
          <w:szCs w:val="24"/>
          <w:lang w:val="en-US"/>
        </w:rPr>
        <w:t>economic</w:t>
      </w:r>
      <w:r>
        <w:rPr>
          <w:rFonts w:eastAsia="Times New Roman"/>
          <w:szCs w:val="24"/>
          <w:lang w:val="en-US"/>
        </w:rPr>
        <w:t xml:space="preserve"> and social rights</w:t>
      </w:r>
      <w:r w:rsidR="00847879">
        <w:rPr>
          <w:rFonts w:eastAsia="Times New Roman"/>
          <w:szCs w:val="24"/>
          <w:lang w:val="en-US"/>
        </w:rPr>
        <w:t xml:space="preserve">.  </w:t>
      </w:r>
    </w:p>
    <w:p w14:paraId="080584CD" w14:textId="77777777" w:rsidR="00D6407E" w:rsidRDefault="00D6407E" w:rsidP="00847879">
      <w:pPr>
        <w:rPr>
          <w:rFonts w:eastAsia="Times New Roman"/>
          <w:szCs w:val="24"/>
          <w:lang w:val="en-US"/>
        </w:rPr>
      </w:pPr>
    </w:p>
    <w:p w14:paraId="56C45861" w14:textId="2A7CD4DA" w:rsidR="00D6407E" w:rsidRDefault="00D6407E" w:rsidP="00D6407E">
      <w:r>
        <w:rPr>
          <w:rFonts w:eastAsia="Times New Roman"/>
          <w:szCs w:val="24"/>
          <w:lang w:val="en-US"/>
        </w:rPr>
        <w:t>Scotland’s care service reform should place human rights compliance at its centre as recommended by the independent review into adult social care led by Derek Feeley.</w:t>
      </w:r>
      <w:r w:rsidR="001D603F">
        <w:rPr>
          <w:rStyle w:val="EndnoteReference"/>
          <w:rFonts w:eastAsia="Times New Roman"/>
          <w:szCs w:val="24"/>
          <w:lang w:val="en-US"/>
        </w:rPr>
        <w:endnoteReference w:id="5"/>
      </w:r>
      <w:r>
        <w:rPr>
          <w:rFonts w:eastAsia="Times New Roman"/>
          <w:szCs w:val="24"/>
          <w:lang w:val="en-US"/>
        </w:rPr>
        <w:t xml:space="preserve">   How the Government</w:t>
      </w:r>
      <w:r w:rsidRPr="00982193">
        <w:rPr>
          <w:rFonts w:eastAsia="Times New Roman"/>
          <w:szCs w:val="24"/>
          <w:lang w:val="en-US"/>
        </w:rPr>
        <w:t xml:space="preserve"> contract</w:t>
      </w:r>
      <w:r>
        <w:rPr>
          <w:rFonts w:eastAsia="Times New Roman"/>
          <w:szCs w:val="24"/>
          <w:lang w:val="en-US"/>
        </w:rPr>
        <w:t>s</w:t>
      </w:r>
      <w:r w:rsidRPr="00982193">
        <w:rPr>
          <w:rFonts w:eastAsia="Times New Roman"/>
          <w:szCs w:val="24"/>
          <w:lang w:val="en-US"/>
        </w:rPr>
        <w:t xml:space="preserve"> with parties to deliver public and publicly funded services</w:t>
      </w:r>
      <w:r>
        <w:rPr>
          <w:rFonts w:eastAsia="Times New Roman"/>
          <w:szCs w:val="24"/>
          <w:lang w:val="en-US"/>
        </w:rPr>
        <w:t xml:space="preserve"> of care matters</w:t>
      </w:r>
      <w:r w:rsidRPr="00982193">
        <w:rPr>
          <w:rFonts w:eastAsia="Times New Roman"/>
          <w:szCs w:val="24"/>
          <w:lang w:val="en-US"/>
        </w:rPr>
        <w:t>.</w:t>
      </w:r>
      <w:r>
        <w:rPr>
          <w:rFonts w:eastAsia="Times New Roman"/>
          <w:szCs w:val="24"/>
          <w:lang w:val="en-US"/>
        </w:rPr>
        <w:t xml:space="preserve">    </w:t>
      </w:r>
      <w:r w:rsidR="00650DFC">
        <w:rPr>
          <w:rFonts w:eastAsia="Times New Roman"/>
          <w:szCs w:val="24"/>
          <w:lang w:val="en-US"/>
        </w:rPr>
        <w:t>In ‘D</w:t>
      </w:r>
      <w:r w:rsidR="00650DFC">
        <w:t>eath, Deception &amp; Dividends’, CICTAR explains that the business of care can afford good pay and conditions and high quality of care, it is a question of choice and business focus.</w:t>
      </w:r>
      <w:r w:rsidR="00650DFC">
        <w:rPr>
          <w:rStyle w:val="EndnoteReference"/>
        </w:rPr>
        <w:endnoteReference w:id="6"/>
      </w:r>
      <w:r w:rsidR="00650DFC">
        <w:rPr>
          <w:rFonts w:eastAsia="Times New Roman"/>
          <w:szCs w:val="24"/>
          <w:lang w:val="en-US"/>
        </w:rPr>
        <w:t xml:space="preserve">  Yet Scotland’s current </w:t>
      </w:r>
      <w:r w:rsidR="00650DFC">
        <w:t>commissioning system is a significant contributory factor to low pay and poor service.</w:t>
      </w:r>
      <w:r w:rsidR="00650DFC">
        <w:rPr>
          <w:rStyle w:val="EndnoteReference"/>
        </w:rPr>
        <w:endnoteReference w:id="7"/>
      </w:r>
      <w:r w:rsidR="00650DFC">
        <w:t xml:space="preserve">  </w:t>
      </w:r>
      <w:r>
        <w:t>An additional £18.9m in government payments for COVID-19 costs allowed the owners of the UK’s largest care home operator to continue to ‘siphon’ millions in tax free profits to the Cayman Islands. In 2020 alone, £4.8m in dividend payments were shifted to the Cayman Islands. Related party interest payments of £17.7m and £24.7m in lease payments also flowed offshore in 2020. These figures follow from years of even larger dividend payments and other forms of financial extraction.”</w:t>
      </w:r>
      <w:r>
        <w:rPr>
          <w:rStyle w:val="EndnoteReference"/>
        </w:rPr>
        <w:endnoteReference w:id="8"/>
      </w:r>
    </w:p>
    <w:p w14:paraId="457F6C03" w14:textId="77777777" w:rsidR="00D6407E" w:rsidRDefault="00D6407E" w:rsidP="00D6407E">
      <w:pPr>
        <w:jc w:val="both"/>
      </w:pPr>
    </w:p>
    <w:p w14:paraId="445F82B6" w14:textId="77777777" w:rsidR="00D6407E" w:rsidRDefault="00D6407E" w:rsidP="00D6407E">
      <w:pPr>
        <w:rPr>
          <w:rFonts w:eastAsia="Times New Roman"/>
          <w:szCs w:val="24"/>
          <w:lang w:val="en-US"/>
        </w:rPr>
      </w:pPr>
      <w:r>
        <w:t>Additional research</w:t>
      </w:r>
      <w:r>
        <w:rPr>
          <w:rStyle w:val="EndnoteReference"/>
        </w:rPr>
        <w:endnoteReference w:id="9"/>
      </w:r>
      <w:r>
        <w:t xml:space="preserve"> and work by journalists</w:t>
      </w:r>
      <w:r>
        <w:rPr>
          <w:rStyle w:val="EndnoteReference"/>
        </w:rPr>
        <w:endnoteReference w:id="10"/>
      </w:r>
      <w:r>
        <w:t xml:space="preserve"> have exposed who owns and profits from care.  The risk to human rights in outsourcing a critical public service is clear and evidences the need to mainstream human rights for service users and workers whoever delivers the service.</w:t>
      </w:r>
    </w:p>
    <w:p w14:paraId="6AD68996" w14:textId="1F264EDF" w:rsidR="00847879" w:rsidRPr="00E902B8" w:rsidRDefault="00847879" w:rsidP="00E902B8">
      <w:pPr>
        <w:rPr>
          <w:rFonts w:eastAsia="Times New Roman"/>
          <w:szCs w:val="24"/>
          <w:lang w:val="en-US"/>
        </w:rPr>
      </w:pPr>
    </w:p>
    <w:p w14:paraId="7FA8AB8C" w14:textId="73340271" w:rsidR="00E902B8" w:rsidRPr="00E902B8" w:rsidRDefault="00D6407E" w:rsidP="00E902B8">
      <w:pPr>
        <w:pStyle w:val="SingleTxtG"/>
        <w:tabs>
          <w:tab w:val="left" w:pos="1701"/>
        </w:tabs>
        <w:spacing w:after="0" w:line="240" w:lineRule="auto"/>
        <w:ind w:left="0" w:right="0"/>
        <w:jc w:val="left"/>
        <w:rPr>
          <w:rFonts w:ascii="Arial" w:hAnsi="Arial" w:cs="Arial"/>
          <w:bCs/>
          <w:sz w:val="24"/>
          <w:szCs w:val="24"/>
        </w:rPr>
      </w:pPr>
      <w:r w:rsidRPr="00E902B8">
        <w:rPr>
          <w:rFonts w:ascii="Arial" w:hAnsi="Arial" w:cs="Arial"/>
          <w:b/>
          <w:bCs/>
          <w:sz w:val="24"/>
          <w:szCs w:val="24"/>
        </w:rPr>
        <w:t>Recommendation 1</w:t>
      </w:r>
      <w:r w:rsidRPr="00E902B8">
        <w:rPr>
          <w:rFonts w:ascii="Arial" w:hAnsi="Arial" w:cs="Arial"/>
          <w:sz w:val="24"/>
          <w:szCs w:val="24"/>
        </w:rPr>
        <w:t xml:space="preserve"> </w:t>
      </w:r>
      <w:r w:rsidRPr="00E902B8">
        <w:rPr>
          <w:rFonts w:ascii="Arial" w:hAnsi="Arial" w:cs="Arial"/>
          <w:bCs/>
          <w:sz w:val="24"/>
          <w:szCs w:val="24"/>
        </w:rPr>
        <w:t xml:space="preserve">The UK takes all necessary measures to </w:t>
      </w:r>
      <w:r w:rsidR="00E902B8" w:rsidRPr="00E902B8">
        <w:rPr>
          <w:rFonts w:ascii="Arial" w:hAnsi="Arial" w:cs="Arial"/>
          <w:bCs/>
          <w:sz w:val="24"/>
          <w:szCs w:val="24"/>
        </w:rPr>
        <w:t xml:space="preserve">institutionalise and legislate for transparency in </w:t>
      </w:r>
      <w:r w:rsidR="00E902B8" w:rsidRPr="00E902B8">
        <w:rPr>
          <w:rFonts w:ascii="Arial" w:hAnsi="Arial" w:cs="Arial"/>
          <w:sz w:val="24"/>
          <w:szCs w:val="24"/>
        </w:rPr>
        <w:t xml:space="preserve">the Territories serving as international financial centres to the detriment of the world economy.  </w:t>
      </w:r>
      <w:r w:rsidR="00E902B8" w:rsidRPr="00E902B8">
        <w:rPr>
          <w:rFonts w:ascii="Arial" w:hAnsi="Arial" w:cs="Arial"/>
          <w:bCs/>
          <w:sz w:val="24"/>
          <w:szCs w:val="24"/>
        </w:rPr>
        <w:t xml:space="preserve">The UK should ensure the full enjoyment of economic, social </w:t>
      </w:r>
      <w:r w:rsidR="003F605C">
        <w:rPr>
          <w:rFonts w:ascii="Arial" w:hAnsi="Arial" w:cs="Arial"/>
          <w:bCs/>
          <w:sz w:val="24"/>
          <w:szCs w:val="24"/>
        </w:rPr>
        <w:t xml:space="preserve">and </w:t>
      </w:r>
      <w:r w:rsidR="00E902B8" w:rsidRPr="00E902B8">
        <w:rPr>
          <w:rFonts w:ascii="Arial" w:hAnsi="Arial" w:cs="Arial"/>
          <w:bCs/>
          <w:sz w:val="24"/>
          <w:szCs w:val="24"/>
        </w:rPr>
        <w:t>cultural rights by all persons under its jurisdiction.</w:t>
      </w:r>
    </w:p>
    <w:p w14:paraId="177E96D2" w14:textId="6434E02A" w:rsidR="00D6407E" w:rsidRPr="00E902B8" w:rsidRDefault="00E902B8" w:rsidP="00E902B8">
      <w:pPr>
        <w:pStyle w:val="SingleTxtG"/>
        <w:tabs>
          <w:tab w:val="left" w:pos="1701"/>
        </w:tabs>
        <w:spacing w:after="0" w:line="240" w:lineRule="auto"/>
        <w:ind w:left="0" w:right="0"/>
        <w:jc w:val="left"/>
        <w:rPr>
          <w:rFonts w:ascii="Arial" w:hAnsi="Arial" w:cs="Arial"/>
          <w:bCs/>
          <w:sz w:val="24"/>
          <w:szCs w:val="24"/>
        </w:rPr>
      </w:pPr>
      <w:r w:rsidRPr="00E902B8">
        <w:rPr>
          <w:rFonts w:ascii="Arial" w:hAnsi="Arial" w:cs="Arial"/>
          <w:bCs/>
          <w:sz w:val="24"/>
          <w:szCs w:val="24"/>
        </w:rPr>
        <w:t>.</w:t>
      </w:r>
    </w:p>
    <w:p w14:paraId="0C86C0A9" w14:textId="6861FC12" w:rsidR="00DE2B85" w:rsidRDefault="00DE2B85" w:rsidP="00416092">
      <w:pPr>
        <w:pStyle w:val="ListParagraph"/>
        <w:numPr>
          <w:ilvl w:val="0"/>
          <w:numId w:val="23"/>
        </w:numPr>
        <w:rPr>
          <w:b/>
          <w:bCs/>
          <w:sz w:val="28"/>
        </w:rPr>
      </w:pPr>
      <w:r>
        <w:rPr>
          <w:b/>
          <w:bCs/>
          <w:sz w:val="28"/>
        </w:rPr>
        <w:t>Acceptance of International Norms</w:t>
      </w:r>
    </w:p>
    <w:p w14:paraId="3A8CC957" w14:textId="2117473A" w:rsidR="00126E1E" w:rsidRPr="00DF7F4F" w:rsidRDefault="00126E1E" w:rsidP="00126E1E">
      <w:pPr>
        <w:tabs>
          <w:tab w:val="left" w:pos="0"/>
        </w:tabs>
        <w:rPr>
          <w:lang w:val="en-US"/>
        </w:rPr>
      </w:pPr>
      <w:r w:rsidRPr="00126E1E">
        <w:rPr>
          <w:szCs w:val="24"/>
        </w:rPr>
        <w:t xml:space="preserve">The UK Freedom of Information Act 2000 (FoIA), the Environmental </w:t>
      </w:r>
      <w:r>
        <w:rPr>
          <w:szCs w:val="24"/>
        </w:rPr>
        <w:t>I</w:t>
      </w:r>
      <w:r w:rsidRPr="00126E1E">
        <w:rPr>
          <w:szCs w:val="24"/>
        </w:rPr>
        <w:t>nformation Regulations</w:t>
      </w:r>
      <w:r w:rsidR="0064356C">
        <w:rPr>
          <w:rStyle w:val="EndnoteReference"/>
          <w:szCs w:val="24"/>
        </w:rPr>
        <w:endnoteReference w:id="11"/>
      </w:r>
      <w:r w:rsidR="0064356C">
        <w:t>,</w:t>
      </w:r>
      <w:r>
        <w:t xml:space="preserve"> </w:t>
      </w:r>
      <w:r w:rsidRPr="00126E1E">
        <w:rPr>
          <w:szCs w:val="24"/>
        </w:rPr>
        <w:t>The Freedom of Information (Scotland) Act 2002 (FoISA)</w:t>
      </w:r>
      <w:r w:rsidR="0064356C" w:rsidRPr="008B17D7">
        <w:rPr>
          <w:rStyle w:val="EndnoteReference"/>
        </w:rPr>
        <w:endnoteReference w:id="12"/>
      </w:r>
      <w:r w:rsidR="0064356C" w:rsidRPr="00126E1E">
        <w:rPr>
          <w:szCs w:val="24"/>
        </w:rPr>
        <w:t>,</w:t>
      </w:r>
      <w:r w:rsidRPr="00126E1E">
        <w:rPr>
          <w:szCs w:val="24"/>
        </w:rPr>
        <w:t xml:space="preserve"> </w:t>
      </w:r>
      <w:r w:rsidRPr="008B17D7">
        <w:t xml:space="preserve">and </w:t>
      </w:r>
      <w:r>
        <w:t xml:space="preserve">the </w:t>
      </w:r>
      <w:r w:rsidRPr="008B17D7">
        <w:t xml:space="preserve">Environmental Information (Scotland) Regulations 2004 </w:t>
      </w:r>
      <w:r>
        <w:t>(</w:t>
      </w:r>
      <w:r w:rsidRPr="008B17D7">
        <w:t>EISR</w:t>
      </w:r>
      <w:r>
        <w:t>s)</w:t>
      </w:r>
      <w:r w:rsidR="0064356C">
        <w:rPr>
          <w:rStyle w:val="EndnoteReference"/>
        </w:rPr>
        <w:endnoteReference w:id="13"/>
      </w:r>
      <w:r w:rsidR="0064356C" w:rsidRPr="008B17D7">
        <w:t xml:space="preserve"> </w:t>
      </w:r>
      <w:r>
        <w:t xml:space="preserve">establish the ‘right to receive’ information and place a duty on the holder of information to provide it unless it is subject to one of the numerous exemptions and </w:t>
      </w:r>
      <w:r w:rsidRPr="00126E1E">
        <w:rPr>
          <w:lang w:val="en-US"/>
        </w:rPr>
        <w:t>exceptions</w:t>
      </w:r>
      <w:r>
        <w:t xml:space="preserve">.  Whether the information relates to devolved or reserved matters defines the legislative choice. There are also duties to pro-actively disclose which are assisted by separate statutory duties such as publishing local housing plans and policy initiatives such as on ‘Open Government’.  Given the established legislation which delivers an enforceable right to access information and duties on pro-active publication, </w:t>
      </w:r>
      <w:r w:rsidRPr="00DF7F4F">
        <w:t xml:space="preserve">CFoIS is puzzled that the UK has so far resisted signing and ratifying the </w:t>
      </w:r>
      <w:r w:rsidRPr="00DF7F4F">
        <w:rPr>
          <w:lang w:val="en-US"/>
        </w:rPr>
        <w:t>The Council of Europe Convention on Access to Official Documents</w:t>
      </w:r>
      <w:r w:rsidR="0064356C" w:rsidRPr="00DF7F4F">
        <w:rPr>
          <w:rStyle w:val="EndnoteReference"/>
          <w:lang w:val="en-US"/>
        </w:rPr>
        <w:endnoteReference w:id="14"/>
      </w:r>
      <w:r w:rsidR="0064356C" w:rsidRPr="00DF7F4F">
        <w:rPr>
          <w:lang w:val="en-US"/>
        </w:rPr>
        <w:t>,</w:t>
      </w:r>
      <w:r w:rsidRPr="00DF7F4F">
        <w:rPr>
          <w:lang w:val="en-US"/>
        </w:rPr>
        <w:t xml:space="preserve"> known as the Tromsø Convention.  Although that process is a reserved matter, the Scottish Government </w:t>
      </w:r>
      <w:r w:rsidRPr="00DF7F4F">
        <w:rPr>
          <w:lang w:val="en-US"/>
        </w:rPr>
        <w:lastRenderedPageBreak/>
        <w:t>can ensure that FoISA’s reform complies</w:t>
      </w:r>
      <w:r w:rsidR="00DF7F4F">
        <w:rPr>
          <w:lang w:val="en-US"/>
        </w:rPr>
        <w:t xml:space="preserve"> (see below)</w:t>
      </w:r>
      <w:r w:rsidRPr="00DF7F4F">
        <w:rPr>
          <w:lang w:val="en-US"/>
        </w:rPr>
        <w:t xml:space="preserve">.  </w:t>
      </w:r>
      <w:proofErr w:type="spellStart"/>
      <w:r w:rsidRPr="00DF7F4F">
        <w:rPr>
          <w:lang w:val="en-US"/>
        </w:rPr>
        <w:t>T</w:t>
      </w:r>
      <w:r w:rsidR="00DF7F4F">
        <w:rPr>
          <w:lang w:val="en-US"/>
        </w:rPr>
        <w:t>romso’s</w:t>
      </w:r>
      <w:proofErr w:type="spellEnd"/>
      <w:r w:rsidRPr="00DF7F4F">
        <w:rPr>
          <w:lang w:val="en-US"/>
        </w:rPr>
        <w:t xml:space="preserve"> preamble sets a useful context for rights:</w:t>
      </w:r>
    </w:p>
    <w:p w14:paraId="4614DC02" w14:textId="77777777" w:rsidR="00126E1E" w:rsidRDefault="00126E1E" w:rsidP="00126E1E">
      <w:pPr>
        <w:tabs>
          <w:tab w:val="left" w:pos="0"/>
        </w:tabs>
      </w:pPr>
    </w:p>
    <w:p w14:paraId="2949048E" w14:textId="65E7AF56" w:rsidR="00126E1E" w:rsidRDefault="00126E1E" w:rsidP="00126E1E">
      <w:pPr>
        <w:tabs>
          <w:tab w:val="left" w:pos="0"/>
        </w:tabs>
        <w:rPr>
          <w:szCs w:val="24"/>
        </w:rPr>
      </w:pPr>
      <w:r>
        <w:t>“</w:t>
      </w:r>
      <w:r w:rsidRPr="00A6039D">
        <w:rPr>
          <w:szCs w:val="24"/>
        </w:rPr>
        <w:t>Considering that exercise of a right to access to official documents: (i) provides a source of information for the public; (ii) helps the public to form an opinion on the state of society and on public authorities; (iii) fosters the integrity, efficiency, effectiveness and accountability of public authorities, so helping affirm their legitimacy”.</w:t>
      </w:r>
      <w:r w:rsidR="0064356C" w:rsidRPr="00A6039D">
        <w:rPr>
          <w:rStyle w:val="EndnoteReference"/>
          <w:szCs w:val="24"/>
        </w:rPr>
        <w:endnoteReference w:id="15"/>
      </w:r>
      <w:r w:rsidR="0064356C" w:rsidRPr="00A6039D">
        <w:rPr>
          <w:szCs w:val="24"/>
        </w:rPr>
        <w:t xml:space="preserve"> </w:t>
      </w:r>
      <w:r w:rsidRPr="00A6039D">
        <w:rPr>
          <w:szCs w:val="24"/>
        </w:rPr>
        <w:t xml:space="preserve"> </w:t>
      </w:r>
    </w:p>
    <w:p w14:paraId="043E54BB" w14:textId="66453F48" w:rsidR="00DF7F4F" w:rsidRDefault="00DF7F4F" w:rsidP="00126E1E">
      <w:pPr>
        <w:tabs>
          <w:tab w:val="left" w:pos="0"/>
        </w:tabs>
        <w:rPr>
          <w:szCs w:val="24"/>
        </w:rPr>
      </w:pPr>
    </w:p>
    <w:p w14:paraId="09999396" w14:textId="2D841B4A" w:rsidR="00DF7F4F" w:rsidRPr="00A6039D" w:rsidRDefault="00DF7F4F" w:rsidP="00126E1E">
      <w:pPr>
        <w:tabs>
          <w:tab w:val="left" w:pos="0"/>
        </w:tabs>
        <w:rPr>
          <w:szCs w:val="24"/>
        </w:rPr>
      </w:pPr>
      <w:r>
        <w:rPr>
          <w:szCs w:val="24"/>
        </w:rPr>
        <w:t>CFoIS believes the UK should show leadership on this issue.</w:t>
      </w:r>
    </w:p>
    <w:p w14:paraId="15E2542B" w14:textId="71408E87" w:rsidR="00126E1E" w:rsidRPr="00126E1E" w:rsidRDefault="00126E1E" w:rsidP="00126E1E">
      <w:pPr>
        <w:rPr>
          <w:b/>
          <w:bCs/>
          <w:szCs w:val="24"/>
        </w:rPr>
      </w:pPr>
    </w:p>
    <w:p w14:paraId="663151DA" w14:textId="5C5FE52C" w:rsidR="00DE2B85" w:rsidRPr="00DE2B85" w:rsidRDefault="00DE2B85" w:rsidP="00DE2B85">
      <w:pPr>
        <w:rPr>
          <w:szCs w:val="24"/>
        </w:rPr>
      </w:pPr>
      <w:r w:rsidRPr="00470B2B">
        <w:rPr>
          <w:b/>
          <w:bCs/>
          <w:szCs w:val="24"/>
        </w:rPr>
        <w:t>Recommendation</w:t>
      </w:r>
      <w:r w:rsidR="00126E1E" w:rsidRPr="00470B2B">
        <w:rPr>
          <w:b/>
          <w:bCs/>
          <w:szCs w:val="24"/>
        </w:rPr>
        <w:t xml:space="preserve"> 2</w:t>
      </w:r>
      <w:r>
        <w:rPr>
          <w:szCs w:val="24"/>
        </w:rPr>
        <w:t xml:space="preserve">: </w:t>
      </w:r>
      <w:r w:rsidR="00126E1E">
        <w:rPr>
          <w:szCs w:val="24"/>
        </w:rPr>
        <w:t>The UK should s</w:t>
      </w:r>
      <w:r w:rsidRPr="00DE2B85">
        <w:rPr>
          <w:szCs w:val="24"/>
        </w:rPr>
        <w:t>ign and ratify the Tromso Convention</w:t>
      </w:r>
      <w:r w:rsidR="00126E1E">
        <w:rPr>
          <w:szCs w:val="24"/>
        </w:rPr>
        <w:t xml:space="preserve"> without further delay.</w:t>
      </w:r>
      <w:r w:rsidR="00DF7F4F">
        <w:rPr>
          <w:szCs w:val="24"/>
        </w:rPr>
        <w:t xml:space="preserve">  </w:t>
      </w:r>
    </w:p>
    <w:p w14:paraId="605BEADE" w14:textId="77777777" w:rsidR="00DE2B85" w:rsidRPr="00DE2B85" w:rsidRDefault="00DE2B85" w:rsidP="00DE2B85">
      <w:pPr>
        <w:rPr>
          <w:szCs w:val="24"/>
        </w:rPr>
      </w:pPr>
    </w:p>
    <w:p w14:paraId="0C1D36E9" w14:textId="703CC9D8" w:rsidR="007F5576" w:rsidRDefault="00416092" w:rsidP="005C208B">
      <w:pPr>
        <w:pStyle w:val="ListParagraph"/>
        <w:numPr>
          <w:ilvl w:val="0"/>
          <w:numId w:val="23"/>
        </w:numPr>
        <w:rPr>
          <w:b/>
          <w:bCs/>
          <w:sz w:val="28"/>
        </w:rPr>
      </w:pPr>
      <w:r>
        <w:rPr>
          <w:b/>
          <w:bCs/>
          <w:sz w:val="28"/>
        </w:rPr>
        <w:t>Compliance with UN Treaties</w:t>
      </w:r>
    </w:p>
    <w:p w14:paraId="4AF577BA" w14:textId="53CBD376" w:rsidR="00470B2B" w:rsidRDefault="00126E1E" w:rsidP="00416092">
      <w:pPr>
        <w:rPr>
          <w:color w:val="000000"/>
          <w:szCs w:val="24"/>
        </w:rPr>
      </w:pPr>
      <w:r>
        <w:rPr>
          <w:szCs w:val="24"/>
        </w:rPr>
        <w:t xml:space="preserve">The UK has established a pattern of delaying submissions to UN </w:t>
      </w:r>
      <w:r w:rsidR="0076056B">
        <w:rPr>
          <w:szCs w:val="24"/>
        </w:rPr>
        <w:t>periodic</w:t>
      </w:r>
      <w:r>
        <w:rPr>
          <w:szCs w:val="24"/>
        </w:rPr>
        <w:t xml:space="preserve"> </w:t>
      </w:r>
      <w:r w:rsidR="0076056B">
        <w:rPr>
          <w:szCs w:val="24"/>
        </w:rPr>
        <w:t>Treaty</w:t>
      </w:r>
      <w:r>
        <w:rPr>
          <w:szCs w:val="24"/>
        </w:rPr>
        <w:t xml:space="preserve"> reviews and consequently postpones </w:t>
      </w:r>
      <w:r w:rsidR="0076056B">
        <w:rPr>
          <w:szCs w:val="24"/>
        </w:rPr>
        <w:t>independent</w:t>
      </w:r>
      <w:r>
        <w:rPr>
          <w:szCs w:val="24"/>
        </w:rPr>
        <w:t xml:space="preserve"> assessment of its </w:t>
      </w:r>
      <w:r w:rsidR="0076056B">
        <w:rPr>
          <w:szCs w:val="24"/>
        </w:rPr>
        <w:t>compliance</w:t>
      </w:r>
      <w:r>
        <w:rPr>
          <w:szCs w:val="24"/>
        </w:rPr>
        <w:t xml:space="preserve"> with ratified Treaties.  For example </w:t>
      </w:r>
      <w:r w:rsidR="00920C14">
        <w:rPr>
          <w:szCs w:val="24"/>
        </w:rPr>
        <w:t>its State Party report on</w:t>
      </w:r>
      <w:r>
        <w:rPr>
          <w:szCs w:val="24"/>
        </w:rPr>
        <w:t xml:space="preserve"> ICESCR</w:t>
      </w:r>
      <w:r w:rsidR="00920C14">
        <w:rPr>
          <w:szCs w:val="24"/>
        </w:rPr>
        <w:t xml:space="preserve"> was due on 30</w:t>
      </w:r>
      <w:r w:rsidR="00920C14" w:rsidRPr="00920C14">
        <w:rPr>
          <w:szCs w:val="24"/>
          <w:vertAlign w:val="superscript"/>
        </w:rPr>
        <w:t>th</w:t>
      </w:r>
      <w:r w:rsidR="00920C14">
        <w:rPr>
          <w:szCs w:val="24"/>
        </w:rPr>
        <w:t xml:space="preserve"> June 2021 and the UK </w:t>
      </w:r>
      <w:r w:rsidR="0076056B">
        <w:rPr>
          <w:szCs w:val="24"/>
        </w:rPr>
        <w:t>Government</w:t>
      </w:r>
      <w:r w:rsidR="00920C14">
        <w:rPr>
          <w:szCs w:val="24"/>
        </w:rPr>
        <w:t xml:space="preserve"> Minister wrote to civil society in December 2021 and assured us it woul</w:t>
      </w:r>
      <w:r w:rsidR="00DF7F4F">
        <w:rPr>
          <w:szCs w:val="24"/>
        </w:rPr>
        <w:t>d</w:t>
      </w:r>
      <w:r w:rsidR="00920C14">
        <w:rPr>
          <w:szCs w:val="24"/>
        </w:rPr>
        <w:t xml:space="preserve"> </w:t>
      </w:r>
      <w:r w:rsidR="0076056B">
        <w:rPr>
          <w:szCs w:val="24"/>
        </w:rPr>
        <w:t>happen</w:t>
      </w:r>
      <w:r w:rsidR="00920C14">
        <w:rPr>
          <w:szCs w:val="24"/>
        </w:rPr>
        <w:t xml:space="preserve"> ‘soon’.  However the matter remains outstanding.  Another example is CRPD</w:t>
      </w:r>
      <w:r w:rsidR="00470B2B">
        <w:rPr>
          <w:szCs w:val="24"/>
        </w:rPr>
        <w:t xml:space="preserve">.  </w:t>
      </w:r>
    </w:p>
    <w:p w14:paraId="6157D2FA" w14:textId="0145B8A3" w:rsidR="00470B2B" w:rsidRDefault="00470B2B" w:rsidP="00416092">
      <w:pPr>
        <w:rPr>
          <w:color w:val="000000"/>
          <w:szCs w:val="24"/>
        </w:rPr>
      </w:pPr>
    </w:p>
    <w:p w14:paraId="37C634D5" w14:textId="4741636E" w:rsidR="00470B2B" w:rsidRDefault="00470B2B" w:rsidP="00470B2B">
      <w:pPr>
        <w:rPr>
          <w:szCs w:val="24"/>
        </w:rPr>
      </w:pPr>
      <w:r>
        <w:rPr>
          <w:szCs w:val="24"/>
        </w:rPr>
        <w:t xml:space="preserve">Repeated delays with submissions and </w:t>
      </w:r>
      <w:r w:rsidR="00102959">
        <w:rPr>
          <w:szCs w:val="24"/>
        </w:rPr>
        <w:t xml:space="preserve">the UK Government’s declared intent </w:t>
      </w:r>
      <w:r>
        <w:rPr>
          <w:szCs w:val="24"/>
        </w:rPr>
        <w:t xml:space="preserve">to replace the Human </w:t>
      </w:r>
      <w:r w:rsidR="0076056B">
        <w:rPr>
          <w:szCs w:val="24"/>
        </w:rPr>
        <w:t>Rights</w:t>
      </w:r>
      <w:r>
        <w:rPr>
          <w:szCs w:val="24"/>
        </w:rPr>
        <w:t xml:space="preserve"> Act 1998 and retreat into </w:t>
      </w:r>
      <w:r w:rsidR="0076056B">
        <w:rPr>
          <w:szCs w:val="24"/>
        </w:rPr>
        <w:t>domestic</w:t>
      </w:r>
      <w:r>
        <w:rPr>
          <w:szCs w:val="24"/>
        </w:rPr>
        <w:t xml:space="preserve"> standards are evidence of a worrying trend</w:t>
      </w:r>
      <w:r w:rsidR="00102959">
        <w:rPr>
          <w:szCs w:val="24"/>
        </w:rPr>
        <w:t xml:space="preserve">.  The UK Government appears to </w:t>
      </w:r>
      <w:r>
        <w:rPr>
          <w:szCs w:val="24"/>
        </w:rPr>
        <w:t xml:space="preserve">shun external and expert scrutiny on </w:t>
      </w:r>
      <w:r w:rsidR="00102959">
        <w:rPr>
          <w:szCs w:val="24"/>
        </w:rPr>
        <w:t xml:space="preserve">the domestic enjoyment and delivery of </w:t>
      </w:r>
      <w:r>
        <w:rPr>
          <w:szCs w:val="24"/>
        </w:rPr>
        <w:t xml:space="preserve">human </w:t>
      </w:r>
      <w:r w:rsidR="0076056B">
        <w:rPr>
          <w:szCs w:val="24"/>
        </w:rPr>
        <w:t>rights</w:t>
      </w:r>
      <w:r>
        <w:rPr>
          <w:szCs w:val="24"/>
        </w:rPr>
        <w:t>.</w:t>
      </w:r>
    </w:p>
    <w:p w14:paraId="60FBD16D" w14:textId="77777777" w:rsidR="00470B2B" w:rsidRDefault="00470B2B" w:rsidP="00416092">
      <w:pPr>
        <w:rPr>
          <w:szCs w:val="24"/>
        </w:rPr>
      </w:pPr>
    </w:p>
    <w:p w14:paraId="3DE4F8A2" w14:textId="2A23C99F" w:rsidR="00646FCC" w:rsidRDefault="00470B2B" w:rsidP="00416092">
      <w:pPr>
        <w:rPr>
          <w:szCs w:val="24"/>
        </w:rPr>
      </w:pPr>
      <w:r w:rsidRPr="00470B2B">
        <w:rPr>
          <w:b/>
          <w:bCs/>
          <w:szCs w:val="24"/>
        </w:rPr>
        <w:t>Recommendation 3</w:t>
      </w:r>
      <w:r>
        <w:rPr>
          <w:szCs w:val="24"/>
        </w:rPr>
        <w:t xml:space="preserve">: The UK should commit to comply with the dates set by UN Treaty Review process.  </w:t>
      </w:r>
    </w:p>
    <w:p w14:paraId="11C3F61B" w14:textId="25C514BF" w:rsidR="00A14EB9" w:rsidRDefault="00A14EB9" w:rsidP="00416092">
      <w:pPr>
        <w:rPr>
          <w:szCs w:val="24"/>
        </w:rPr>
      </w:pPr>
    </w:p>
    <w:p w14:paraId="14B999F0" w14:textId="009F0BFF" w:rsidR="00A14EB9" w:rsidRPr="005B5B97" w:rsidRDefault="0076056B" w:rsidP="00A14EB9">
      <w:pPr>
        <w:pStyle w:val="ListParagraph"/>
        <w:numPr>
          <w:ilvl w:val="0"/>
          <w:numId w:val="23"/>
        </w:numPr>
        <w:rPr>
          <w:b/>
          <w:bCs/>
          <w:sz w:val="28"/>
        </w:rPr>
      </w:pPr>
      <w:r w:rsidRPr="005B5B97">
        <w:rPr>
          <w:b/>
          <w:bCs/>
          <w:sz w:val="28"/>
        </w:rPr>
        <w:t>Engagement</w:t>
      </w:r>
      <w:r w:rsidR="00A14EB9" w:rsidRPr="005B5B97">
        <w:rPr>
          <w:b/>
          <w:bCs/>
          <w:sz w:val="28"/>
        </w:rPr>
        <w:t xml:space="preserve"> with </w:t>
      </w:r>
      <w:r w:rsidRPr="005B5B97">
        <w:rPr>
          <w:b/>
          <w:bCs/>
          <w:sz w:val="28"/>
        </w:rPr>
        <w:t>Civil</w:t>
      </w:r>
      <w:r w:rsidR="00A14EB9" w:rsidRPr="005B5B97">
        <w:rPr>
          <w:b/>
          <w:bCs/>
          <w:sz w:val="28"/>
        </w:rPr>
        <w:t xml:space="preserve"> Society</w:t>
      </w:r>
    </w:p>
    <w:p w14:paraId="41C5A6F9" w14:textId="77777777" w:rsidR="005B5B97" w:rsidRPr="005B5B97" w:rsidRDefault="005B5B97" w:rsidP="005B5B97">
      <w:pPr>
        <w:rPr>
          <w:szCs w:val="24"/>
        </w:rPr>
      </w:pPr>
      <w:r w:rsidRPr="005B5B97">
        <w:rPr>
          <w:szCs w:val="24"/>
        </w:rPr>
        <w:t>CFoIS organises meetings of the Scottish Public Information Forum (SPIF) to increase engagement with rights holders and duty bearers.  SPIF is included in the Scottish Government’s six FoI principles published in 2007:</w:t>
      </w:r>
    </w:p>
    <w:p w14:paraId="56A3760C" w14:textId="77777777" w:rsidR="005B5B97" w:rsidRPr="005B5B97" w:rsidRDefault="005B5B97" w:rsidP="005B5B97">
      <w:pPr>
        <w:rPr>
          <w:rFonts w:eastAsia="Times New Roman"/>
          <w:color w:val="333333"/>
          <w:szCs w:val="24"/>
          <w:lang w:eastAsia="en-GB"/>
        </w:rPr>
      </w:pPr>
      <w:r w:rsidRPr="005B5B97">
        <w:rPr>
          <w:szCs w:val="24"/>
        </w:rPr>
        <w:t>“…</w:t>
      </w:r>
      <w:r w:rsidRPr="005B5B97">
        <w:rPr>
          <w:rFonts w:eastAsia="Times New Roman"/>
          <w:color w:val="333333"/>
          <w:szCs w:val="24"/>
          <w:lang w:eastAsia="en-GB"/>
        </w:rPr>
        <w:t>maintains effective relationships with the Scottish Information Commissioner and other key stakeholders. We ensure the effective operation of the Act by fostering and maintaining good working relationships on Freedom of Information with stakeholders such as other public authorities and the Scottish Public Information Forum.”</w:t>
      </w:r>
      <w:r>
        <w:rPr>
          <w:rStyle w:val="EndnoteReference"/>
          <w:rFonts w:eastAsia="Times New Roman"/>
          <w:color w:val="333333"/>
          <w:szCs w:val="24"/>
          <w:lang w:eastAsia="en-GB"/>
        </w:rPr>
        <w:endnoteReference w:id="16"/>
      </w:r>
    </w:p>
    <w:p w14:paraId="74D16510" w14:textId="446C7DA4" w:rsidR="002F38D0" w:rsidRDefault="002F38D0" w:rsidP="00416092">
      <w:pPr>
        <w:rPr>
          <w:szCs w:val="24"/>
        </w:rPr>
      </w:pPr>
    </w:p>
    <w:p w14:paraId="111CCB55" w14:textId="2819837D" w:rsidR="00653BB8" w:rsidRDefault="00653BB8" w:rsidP="00416092">
      <w:pPr>
        <w:rPr>
          <w:szCs w:val="24"/>
        </w:rPr>
      </w:pPr>
      <w:r>
        <w:rPr>
          <w:szCs w:val="24"/>
        </w:rPr>
        <w:t xml:space="preserve">CFoIS wishes to record </w:t>
      </w:r>
      <w:r w:rsidR="0076056B">
        <w:rPr>
          <w:szCs w:val="24"/>
        </w:rPr>
        <w:t>its</w:t>
      </w:r>
      <w:r>
        <w:rPr>
          <w:szCs w:val="24"/>
        </w:rPr>
        <w:t xml:space="preserve"> thanks to the </w:t>
      </w:r>
      <w:r w:rsidR="0076056B">
        <w:rPr>
          <w:szCs w:val="24"/>
        </w:rPr>
        <w:t>Scottish</w:t>
      </w:r>
      <w:r>
        <w:rPr>
          <w:szCs w:val="24"/>
        </w:rPr>
        <w:t xml:space="preserve"> Government for its </w:t>
      </w:r>
      <w:r w:rsidR="0076056B">
        <w:rPr>
          <w:szCs w:val="24"/>
        </w:rPr>
        <w:t>participation</w:t>
      </w:r>
      <w:r>
        <w:rPr>
          <w:szCs w:val="24"/>
        </w:rPr>
        <w:t xml:space="preserve"> in this process.  Members of the public, designated bodies under FoISA, civil society and the Scottish Information Commissioner meet to discuss the practice of rights and best practice in the delivery of duties.  </w:t>
      </w:r>
      <w:r w:rsidR="0076056B">
        <w:rPr>
          <w:szCs w:val="24"/>
        </w:rPr>
        <w:t>This</w:t>
      </w:r>
      <w:r>
        <w:rPr>
          <w:szCs w:val="24"/>
        </w:rPr>
        <w:t xml:space="preserve"> </w:t>
      </w:r>
      <w:r w:rsidR="0076056B">
        <w:rPr>
          <w:szCs w:val="24"/>
        </w:rPr>
        <w:t>collaborative</w:t>
      </w:r>
      <w:r>
        <w:rPr>
          <w:szCs w:val="24"/>
        </w:rPr>
        <w:t xml:space="preserve"> and accountable forum enables engagement with stakeholders.</w:t>
      </w:r>
    </w:p>
    <w:p w14:paraId="109BD24E" w14:textId="77777777" w:rsidR="00653BB8" w:rsidRPr="005120EA" w:rsidRDefault="00653BB8" w:rsidP="00416092">
      <w:pPr>
        <w:rPr>
          <w:sz w:val="32"/>
          <w:szCs w:val="32"/>
        </w:rPr>
      </w:pPr>
    </w:p>
    <w:p w14:paraId="6435C106" w14:textId="0197EBC4" w:rsidR="002F38D0" w:rsidRPr="005120EA" w:rsidRDefault="002F38D0" w:rsidP="002F38D0">
      <w:pPr>
        <w:pStyle w:val="ListParagraph"/>
        <w:numPr>
          <w:ilvl w:val="0"/>
          <w:numId w:val="23"/>
        </w:numPr>
        <w:rPr>
          <w:b/>
          <w:bCs/>
          <w:sz w:val="28"/>
        </w:rPr>
      </w:pPr>
      <w:r w:rsidRPr="005120EA">
        <w:rPr>
          <w:b/>
          <w:bCs/>
          <w:sz w:val="28"/>
        </w:rPr>
        <w:t>SLAPPs</w:t>
      </w:r>
    </w:p>
    <w:p w14:paraId="26960C39" w14:textId="6BACFFA4" w:rsidR="00646FCC" w:rsidRDefault="0076056B" w:rsidP="00416092">
      <w:r>
        <w:t>A growing body of evidence</w:t>
      </w:r>
      <w:r w:rsidR="00102959">
        <w:t>,</w:t>
      </w:r>
      <w:r w:rsidR="0065291A">
        <w:t xml:space="preserve"> over many years</w:t>
      </w:r>
      <w:r w:rsidR="00102959">
        <w:t>,</w:t>
      </w:r>
      <w:r>
        <w:t xml:space="preserve"> has identified abusive legal threats and strategic lawsuits against public participation (SLAPPs) as a key issue of concern for freedom of expression and the right to information in the UK. The impact </w:t>
      </w:r>
      <w:r>
        <w:lastRenderedPageBreak/>
        <w:t>goes beyond those directly subject to these legal tactics, posing a wider challenge to society and the principle of public participation</w:t>
      </w:r>
      <w:r w:rsidR="0065291A">
        <w:t xml:space="preserve"> and accessing accurate up to date information as a </w:t>
      </w:r>
      <w:r w:rsidR="004C7538">
        <w:t>human right</w:t>
      </w:r>
      <w:r w:rsidR="0065291A">
        <w:t xml:space="preserve"> and as a </w:t>
      </w:r>
      <w:r w:rsidR="004C7538">
        <w:t>counter</w:t>
      </w:r>
      <w:r w:rsidR="0065291A">
        <w:t xml:space="preserve"> to fake news. </w:t>
      </w:r>
      <w:r>
        <w:t>These legal actions are directed against individuals and organisations - including journalists, media outlets, whistleblowers, activists, academics and NGOs - that speak out on matters of public interest. SLAPPS have been gaining wider recognition as an issue in several jurisdictions. However, there is also a significant concern regarding the ‘hidden problem’ of UK law firms sending threatening legal communication prior to any official filings, which can have a similar effect to SLAPPs. These legal threats are particularly effective when emanating from the UK, which is seen as a more plaintiff-friendly jurisdiction and where mounting a defence is a particularly costly and lengthy process.</w:t>
      </w:r>
    </w:p>
    <w:p w14:paraId="02CF0F13" w14:textId="5C82006D" w:rsidR="0065291A" w:rsidRDefault="0065291A" w:rsidP="00416092"/>
    <w:p w14:paraId="02573C1B" w14:textId="1CFD9828" w:rsidR="0065291A" w:rsidRPr="0076056B" w:rsidRDefault="0065291A" w:rsidP="00416092">
      <w:pPr>
        <w:rPr>
          <w:szCs w:val="24"/>
        </w:rPr>
      </w:pPr>
      <w:r>
        <w:t>CFoIS welcomes the UK Governments emergency consultation on the use of SLAPPs in the UK, launched on 17</w:t>
      </w:r>
      <w:r w:rsidRPr="0065291A">
        <w:rPr>
          <w:vertAlign w:val="superscript"/>
        </w:rPr>
        <w:t>th</w:t>
      </w:r>
      <w:r>
        <w:t xml:space="preserve"> March 2022</w:t>
      </w:r>
      <w:r w:rsidR="00E112EE">
        <w:t xml:space="preserve"> which will end on 19</w:t>
      </w:r>
      <w:r w:rsidR="00E112EE" w:rsidRPr="00E112EE">
        <w:rPr>
          <w:vertAlign w:val="superscript"/>
        </w:rPr>
        <w:t>th</w:t>
      </w:r>
      <w:r w:rsidR="00E112EE">
        <w:t xml:space="preserve"> May</w:t>
      </w:r>
      <w:r>
        <w:t>.</w:t>
      </w:r>
      <w:r>
        <w:rPr>
          <w:rStyle w:val="EndnoteReference"/>
        </w:rPr>
        <w:endnoteReference w:id="17"/>
      </w:r>
    </w:p>
    <w:p w14:paraId="3BE36905" w14:textId="3961FBC9" w:rsidR="00416092" w:rsidRDefault="00E112EE" w:rsidP="00416092">
      <w:pPr>
        <w:rPr>
          <w:szCs w:val="24"/>
        </w:rPr>
      </w:pPr>
      <w:r>
        <w:rPr>
          <w:szCs w:val="24"/>
        </w:rPr>
        <w:t xml:space="preserve">The legacy of current law and practice also needs to be assessed to ensure the public interest in accessing accurate information is </w:t>
      </w:r>
      <w:r w:rsidR="004C7538">
        <w:rPr>
          <w:szCs w:val="24"/>
        </w:rPr>
        <w:t>respected</w:t>
      </w:r>
      <w:r>
        <w:rPr>
          <w:szCs w:val="24"/>
        </w:rPr>
        <w:t xml:space="preserve"> and protected and if </w:t>
      </w:r>
      <w:r w:rsidR="004C7538">
        <w:rPr>
          <w:szCs w:val="24"/>
        </w:rPr>
        <w:t>necessary,</w:t>
      </w:r>
      <w:r>
        <w:rPr>
          <w:szCs w:val="24"/>
        </w:rPr>
        <w:t xml:space="preserve"> enabling the release of information that should have been made public.</w:t>
      </w:r>
    </w:p>
    <w:p w14:paraId="2DC56DD0" w14:textId="0A128D52" w:rsidR="00E112EE" w:rsidRDefault="00E112EE" w:rsidP="00416092">
      <w:pPr>
        <w:rPr>
          <w:szCs w:val="24"/>
        </w:rPr>
      </w:pPr>
    </w:p>
    <w:p w14:paraId="04C44494" w14:textId="0B8478D4" w:rsidR="00E112EE" w:rsidRDefault="00E112EE" w:rsidP="00416092">
      <w:pPr>
        <w:rPr>
          <w:szCs w:val="24"/>
        </w:rPr>
      </w:pPr>
      <w:r w:rsidRPr="00102959">
        <w:rPr>
          <w:b/>
          <w:bCs/>
          <w:szCs w:val="24"/>
        </w:rPr>
        <w:t>Recommendation</w:t>
      </w:r>
      <w:r w:rsidR="00102959" w:rsidRPr="00102959">
        <w:rPr>
          <w:b/>
          <w:bCs/>
          <w:szCs w:val="24"/>
        </w:rPr>
        <w:t xml:space="preserve"> 4</w:t>
      </w:r>
      <w:r w:rsidRPr="00102959">
        <w:rPr>
          <w:b/>
          <w:bCs/>
          <w:szCs w:val="24"/>
        </w:rPr>
        <w:t>:</w:t>
      </w:r>
      <w:r>
        <w:rPr>
          <w:szCs w:val="24"/>
        </w:rPr>
        <w:t xml:space="preserve"> The UK and Scottish Governments </w:t>
      </w:r>
      <w:r w:rsidR="004C7538">
        <w:rPr>
          <w:szCs w:val="24"/>
        </w:rPr>
        <w:t xml:space="preserve">urgently </w:t>
      </w:r>
      <w:r>
        <w:rPr>
          <w:szCs w:val="24"/>
        </w:rPr>
        <w:t>legislat</w:t>
      </w:r>
      <w:r w:rsidR="004C7538">
        <w:rPr>
          <w:szCs w:val="24"/>
        </w:rPr>
        <w:t>e</w:t>
      </w:r>
      <w:r>
        <w:rPr>
          <w:szCs w:val="24"/>
        </w:rPr>
        <w:t xml:space="preserve"> to </w:t>
      </w:r>
      <w:r w:rsidR="004C7538">
        <w:rPr>
          <w:szCs w:val="24"/>
        </w:rPr>
        <w:t>ensure</w:t>
      </w:r>
      <w:r>
        <w:rPr>
          <w:szCs w:val="24"/>
        </w:rPr>
        <w:t xml:space="preserve"> </w:t>
      </w:r>
      <w:r w:rsidR="004C7538">
        <w:rPr>
          <w:szCs w:val="24"/>
        </w:rPr>
        <w:t xml:space="preserve"> legislative, regulatory and procedural reforms deliver a rights respecting regime across the UK, Northern Ireland and all territories under its jurisdiction.</w:t>
      </w:r>
    </w:p>
    <w:p w14:paraId="5CD9BC80" w14:textId="77777777" w:rsidR="004C7538" w:rsidRPr="00E112EE" w:rsidRDefault="004C7538" w:rsidP="00416092">
      <w:pPr>
        <w:rPr>
          <w:szCs w:val="24"/>
        </w:rPr>
      </w:pPr>
    </w:p>
    <w:p w14:paraId="47C48EDC" w14:textId="3FE2AFAC" w:rsidR="00646FCC" w:rsidRPr="0076056B" w:rsidRDefault="00646FCC" w:rsidP="00646FCC">
      <w:pPr>
        <w:pStyle w:val="ListParagraph"/>
        <w:numPr>
          <w:ilvl w:val="0"/>
          <w:numId w:val="23"/>
        </w:numPr>
        <w:rPr>
          <w:b/>
          <w:bCs/>
          <w:sz w:val="28"/>
        </w:rPr>
      </w:pPr>
      <w:r w:rsidRPr="0076056B">
        <w:rPr>
          <w:b/>
          <w:bCs/>
          <w:sz w:val="28"/>
        </w:rPr>
        <w:t>NHRIs</w:t>
      </w:r>
    </w:p>
    <w:p w14:paraId="0963B8E0" w14:textId="044CEC5B" w:rsidR="0064356C" w:rsidRDefault="005120EA" w:rsidP="0064356C">
      <w:r>
        <w:rPr>
          <w:szCs w:val="24"/>
        </w:rPr>
        <w:t xml:space="preserve">The Scottsih Human Rights Commission has A status.  However the Scottish Commission for Human </w:t>
      </w:r>
      <w:r w:rsidR="0076056B">
        <w:rPr>
          <w:szCs w:val="24"/>
        </w:rPr>
        <w:t>Rights</w:t>
      </w:r>
      <w:r>
        <w:rPr>
          <w:szCs w:val="24"/>
        </w:rPr>
        <w:t xml:space="preserve"> Act </w:t>
      </w:r>
      <w:r w:rsidR="00102959">
        <w:rPr>
          <w:szCs w:val="24"/>
        </w:rPr>
        <w:t xml:space="preserve">2006, section 6, </w:t>
      </w:r>
      <w:r>
        <w:rPr>
          <w:szCs w:val="24"/>
        </w:rPr>
        <w:t xml:space="preserve">specifically prohibits the SHRC from advising, </w:t>
      </w:r>
      <w:r w:rsidR="0076056B">
        <w:rPr>
          <w:szCs w:val="24"/>
        </w:rPr>
        <w:t>undertaking</w:t>
      </w:r>
      <w:r>
        <w:rPr>
          <w:szCs w:val="24"/>
        </w:rPr>
        <w:t xml:space="preserve"> or funding casework</w:t>
      </w:r>
      <w:r w:rsidR="00102959">
        <w:rPr>
          <w:rStyle w:val="EndnoteReference"/>
          <w:szCs w:val="24"/>
        </w:rPr>
        <w:endnoteReference w:id="18"/>
      </w:r>
      <w:r>
        <w:rPr>
          <w:szCs w:val="24"/>
        </w:rPr>
        <w:t xml:space="preserve">.  This </w:t>
      </w:r>
      <w:r w:rsidR="0076056B">
        <w:rPr>
          <w:szCs w:val="24"/>
        </w:rPr>
        <w:t>weakens</w:t>
      </w:r>
      <w:r>
        <w:rPr>
          <w:szCs w:val="24"/>
        </w:rPr>
        <w:t xml:space="preserve"> the standing and impact of the SHRC to ensure there are </w:t>
      </w:r>
      <w:r w:rsidR="0076056B">
        <w:rPr>
          <w:szCs w:val="24"/>
        </w:rPr>
        <w:t>consequences</w:t>
      </w:r>
      <w:r>
        <w:rPr>
          <w:szCs w:val="24"/>
        </w:rPr>
        <w:t xml:space="preserve"> for failure to comply with human </w:t>
      </w:r>
      <w:r w:rsidR="0076056B">
        <w:rPr>
          <w:szCs w:val="24"/>
        </w:rPr>
        <w:t>rights</w:t>
      </w:r>
      <w:r>
        <w:rPr>
          <w:szCs w:val="24"/>
        </w:rPr>
        <w:t xml:space="preserve"> law.  </w:t>
      </w:r>
      <w:r>
        <w:rPr>
          <w:lang w:val="en-US"/>
        </w:rPr>
        <w:t xml:space="preserve">CFoIS </w:t>
      </w:r>
      <w:r w:rsidR="0076056B">
        <w:rPr>
          <w:lang w:val="en-US"/>
        </w:rPr>
        <w:t>believes</w:t>
      </w:r>
      <w:r>
        <w:rPr>
          <w:lang w:val="en-US"/>
        </w:rPr>
        <w:t xml:space="preserve"> </w:t>
      </w:r>
      <w:r w:rsidR="0064356C">
        <w:rPr>
          <w:lang w:val="en-US"/>
        </w:rPr>
        <w:t xml:space="preserve">the </w:t>
      </w:r>
      <w:r w:rsidR="0076056B">
        <w:rPr>
          <w:lang w:val="en-US"/>
        </w:rPr>
        <w:t>Scottish</w:t>
      </w:r>
      <w:r w:rsidR="0064356C">
        <w:rPr>
          <w:lang w:val="en-US"/>
        </w:rPr>
        <w:t xml:space="preserve"> Government should </w:t>
      </w:r>
      <w:r>
        <w:rPr>
          <w:lang w:val="en-US"/>
        </w:rPr>
        <w:t>amend the SHRC’s powers</w:t>
      </w:r>
      <w:r w:rsidR="00102959">
        <w:rPr>
          <w:lang w:val="en-US"/>
        </w:rPr>
        <w:t xml:space="preserve"> as a matter of urgency.</w:t>
      </w:r>
      <w:r>
        <w:rPr>
          <w:lang w:val="en-US"/>
        </w:rPr>
        <w:t xml:space="preserve"> In ‘</w:t>
      </w:r>
      <w:r>
        <w:t>Getting Rights Right: Human Rights and the Scottish Parliament</w:t>
      </w:r>
      <w:r w:rsidR="00A846FC">
        <w:t>’</w:t>
      </w:r>
      <w:r>
        <w:t xml:space="preserve">, 6th Report of the Equalities and Human Rights Committee of the Scottish Parliament published in November 2018, recommendation 15 was ‘…Investigate strengthening powers of the Scottish Human Rights Commission.’ </w:t>
      </w:r>
      <w:r w:rsidR="00102959">
        <w:t xml:space="preserve">This action was </w:t>
      </w:r>
      <w:r>
        <w:t xml:space="preserve">to </w:t>
      </w:r>
      <w:r w:rsidR="00964E0D">
        <w:t>commence</w:t>
      </w:r>
      <w:r>
        <w:t xml:space="preserve"> between 1-3 years after publication of the report but no visible progress to date.</w:t>
      </w:r>
      <w:r w:rsidR="0064356C">
        <w:rPr>
          <w:rStyle w:val="EndnoteReference"/>
        </w:rPr>
        <w:endnoteReference w:id="19"/>
      </w:r>
      <w:r>
        <w:t xml:space="preserve"> </w:t>
      </w:r>
    </w:p>
    <w:p w14:paraId="1F40487B" w14:textId="77777777" w:rsidR="0064356C" w:rsidRDefault="0064356C" w:rsidP="0064356C"/>
    <w:p w14:paraId="3B111EC5" w14:textId="65EA5EC1" w:rsidR="00A6039D" w:rsidRDefault="00A6039D" w:rsidP="00646FCC">
      <w:r w:rsidRPr="00964E0D">
        <w:rPr>
          <w:b/>
          <w:bCs/>
        </w:rPr>
        <w:t>Recommendation</w:t>
      </w:r>
      <w:r w:rsidR="00964E0D" w:rsidRPr="00964E0D">
        <w:rPr>
          <w:b/>
          <w:bCs/>
        </w:rPr>
        <w:t xml:space="preserve"> 5</w:t>
      </w:r>
      <w:r w:rsidRPr="00964E0D">
        <w:rPr>
          <w:b/>
          <w:bCs/>
        </w:rPr>
        <w:t>:</w:t>
      </w:r>
      <w:r>
        <w:t xml:space="preserve"> The Scottish Government brings forward a Bill that repeals section 6 of the Scottish Commission for Human </w:t>
      </w:r>
      <w:r w:rsidR="0076056B">
        <w:t>Rights</w:t>
      </w:r>
      <w:r>
        <w:t xml:space="preserve"> Act and funds the SHRC to </w:t>
      </w:r>
      <w:r w:rsidR="0076056B">
        <w:t>undertake</w:t>
      </w:r>
      <w:r>
        <w:t xml:space="preserve"> case work in the public interest.</w:t>
      </w:r>
    </w:p>
    <w:p w14:paraId="4DDF86C1" w14:textId="12AE12BA" w:rsidR="00646FCC" w:rsidRPr="00646FCC" w:rsidRDefault="00A6039D" w:rsidP="00646FCC">
      <w:pPr>
        <w:rPr>
          <w:szCs w:val="24"/>
        </w:rPr>
      </w:pPr>
      <w:r>
        <w:t xml:space="preserve"> </w:t>
      </w:r>
    </w:p>
    <w:p w14:paraId="69E63AAE" w14:textId="4AC14DD6" w:rsidR="008432F9" w:rsidRPr="00366799" w:rsidRDefault="007F5576" w:rsidP="007F5576">
      <w:pPr>
        <w:pStyle w:val="ListParagraph"/>
        <w:numPr>
          <w:ilvl w:val="0"/>
          <w:numId w:val="23"/>
        </w:numPr>
        <w:rPr>
          <w:b/>
          <w:bCs/>
          <w:sz w:val="28"/>
        </w:rPr>
      </w:pPr>
      <w:r w:rsidRPr="00366799">
        <w:rPr>
          <w:b/>
          <w:bCs/>
          <w:sz w:val="28"/>
        </w:rPr>
        <w:t xml:space="preserve">Freedom of Expression </w:t>
      </w:r>
    </w:p>
    <w:p w14:paraId="1F2ED54C" w14:textId="16140AF8" w:rsidR="00D86DCD" w:rsidRDefault="00653BB8" w:rsidP="00B44D29">
      <w:r w:rsidRPr="00653BB8">
        <w:rPr>
          <w:szCs w:val="24"/>
        </w:rPr>
        <w:t>The Public Audit and Post Legislative Scrutiny Committee</w:t>
      </w:r>
      <w:r w:rsidR="00633608">
        <w:rPr>
          <w:szCs w:val="24"/>
        </w:rPr>
        <w:t xml:space="preserve"> </w:t>
      </w:r>
      <w:r w:rsidR="00633608">
        <w:t xml:space="preserve">(PAPLS) </w:t>
      </w:r>
      <w:r w:rsidRPr="00653BB8">
        <w:rPr>
          <w:szCs w:val="24"/>
        </w:rPr>
        <w:t xml:space="preserve">of the Scottish Parliament published a detailed report in May 2020 which recommended significant reform of </w:t>
      </w:r>
      <w:r w:rsidR="00BB0A59">
        <w:t xml:space="preserve">the </w:t>
      </w:r>
      <w:r w:rsidR="00BB0A59" w:rsidRPr="00841304">
        <w:t>Freedom of Information (Scotland) Act 20</w:t>
      </w:r>
      <w:r w:rsidR="00BB0A59">
        <w:t>0</w:t>
      </w:r>
      <w:r w:rsidR="00BB0A59" w:rsidRPr="00841304">
        <w:t>2</w:t>
      </w:r>
      <w:r w:rsidR="00A6039D" w:rsidRPr="00841304">
        <w:rPr>
          <w:vertAlign w:val="superscript"/>
        </w:rPr>
        <w:endnoteReference w:id="20"/>
      </w:r>
      <w:r w:rsidR="00A6039D" w:rsidRPr="00841304">
        <w:t xml:space="preserve"> </w:t>
      </w:r>
      <w:r w:rsidR="00BB0A59" w:rsidRPr="00841304">
        <w:t>(FoISA</w:t>
      </w:r>
      <w:r w:rsidR="00A846FC">
        <w:t>)</w:t>
      </w:r>
      <w:r w:rsidR="00D86DCD">
        <w:t>:</w:t>
      </w:r>
    </w:p>
    <w:p w14:paraId="0091320C" w14:textId="77777777" w:rsidR="00D86DCD" w:rsidRDefault="002D22A8" w:rsidP="00B44D29">
      <w:pPr>
        <w:rPr>
          <w:szCs w:val="24"/>
        </w:rPr>
      </w:pPr>
      <w:r>
        <w:t xml:space="preserve"> ‘… there is a clear need to improve the legislation, particularly in respect of the bodies that it covers and in relation to proactive publication.’</w:t>
      </w:r>
      <w:r>
        <w:rPr>
          <w:rStyle w:val="EndnoteReference"/>
        </w:rPr>
        <w:endnoteReference w:id="21"/>
      </w:r>
      <w:r>
        <w:t xml:space="preserve">  </w:t>
      </w:r>
      <w:r w:rsidR="00653BB8" w:rsidRPr="00653BB8">
        <w:rPr>
          <w:szCs w:val="24"/>
        </w:rPr>
        <w:t xml:space="preserve">  </w:t>
      </w:r>
    </w:p>
    <w:p w14:paraId="081889B6" w14:textId="77777777" w:rsidR="00D86DCD" w:rsidRDefault="00D86DCD" w:rsidP="00B44D29">
      <w:pPr>
        <w:rPr>
          <w:szCs w:val="24"/>
        </w:rPr>
      </w:pPr>
    </w:p>
    <w:p w14:paraId="02817C73" w14:textId="19F59082" w:rsidR="007F5576" w:rsidRDefault="00653BB8" w:rsidP="00B44D29">
      <w:pPr>
        <w:rPr>
          <w:szCs w:val="24"/>
        </w:rPr>
      </w:pPr>
      <w:r w:rsidRPr="00653BB8">
        <w:rPr>
          <w:szCs w:val="24"/>
        </w:rPr>
        <w:t xml:space="preserve">The Scottish Government committed to </w:t>
      </w:r>
      <w:r>
        <w:rPr>
          <w:szCs w:val="24"/>
        </w:rPr>
        <w:t>consulting people on access to information rights, in February 2021</w:t>
      </w:r>
      <w:r w:rsidR="00A846FC">
        <w:rPr>
          <w:szCs w:val="24"/>
        </w:rPr>
        <w:t>,</w:t>
      </w:r>
      <w:r>
        <w:rPr>
          <w:szCs w:val="24"/>
        </w:rPr>
        <w:t xml:space="preserve"> but has not committed to</w:t>
      </w:r>
      <w:r w:rsidRPr="00653BB8">
        <w:rPr>
          <w:szCs w:val="24"/>
        </w:rPr>
        <w:t xml:space="preserve"> reform</w:t>
      </w:r>
      <w:r>
        <w:rPr>
          <w:szCs w:val="24"/>
        </w:rPr>
        <w:t xml:space="preserve">ing </w:t>
      </w:r>
      <w:r w:rsidR="007F5576">
        <w:rPr>
          <w:szCs w:val="24"/>
        </w:rPr>
        <w:t>FoISA</w:t>
      </w:r>
      <w:r w:rsidR="0064356C">
        <w:rPr>
          <w:szCs w:val="24"/>
        </w:rPr>
        <w:t xml:space="preserve">.  </w:t>
      </w:r>
      <w:r w:rsidR="00541CD4">
        <w:rPr>
          <w:szCs w:val="24"/>
        </w:rPr>
        <w:t>That consultation is not yet published.</w:t>
      </w:r>
    </w:p>
    <w:p w14:paraId="3BFAFA5A" w14:textId="77777777" w:rsidR="00BB0A59" w:rsidRDefault="00BB0A59" w:rsidP="00BB0A59">
      <w:pPr>
        <w:pStyle w:val="ListParagraph"/>
        <w:ind w:left="0"/>
        <w:rPr>
          <w:szCs w:val="24"/>
        </w:rPr>
      </w:pPr>
    </w:p>
    <w:p w14:paraId="0F7B8FFE" w14:textId="76EB109C" w:rsidR="00BB0A59" w:rsidRPr="002D22A8" w:rsidRDefault="00541CD4" w:rsidP="002D22A8">
      <w:pPr>
        <w:rPr>
          <w:color w:val="000000"/>
          <w:shd w:val="clear" w:color="auto" w:fill="FFFFFF"/>
          <w:lang w:val="en-US"/>
        </w:rPr>
      </w:pPr>
      <w:r w:rsidRPr="00BB0A59">
        <w:rPr>
          <w:szCs w:val="24"/>
        </w:rPr>
        <w:t xml:space="preserve">CFoIS </w:t>
      </w:r>
      <w:r w:rsidR="00D86DCD">
        <w:rPr>
          <w:szCs w:val="24"/>
        </w:rPr>
        <w:t>is frustrated by inaction and has</w:t>
      </w:r>
      <w:r w:rsidR="00BB0A59" w:rsidRPr="00BB0A59">
        <w:rPr>
          <w:szCs w:val="24"/>
        </w:rPr>
        <w:t xml:space="preserve"> </w:t>
      </w:r>
      <w:r w:rsidR="00D86DCD" w:rsidRPr="00BB0A59">
        <w:rPr>
          <w:szCs w:val="24"/>
        </w:rPr>
        <w:t>draf</w:t>
      </w:r>
      <w:r w:rsidR="00D86DCD">
        <w:rPr>
          <w:szCs w:val="24"/>
        </w:rPr>
        <w:t>ted</w:t>
      </w:r>
      <w:r w:rsidR="00BB0A59" w:rsidRPr="00BB0A59">
        <w:rPr>
          <w:szCs w:val="24"/>
        </w:rPr>
        <w:t xml:space="preserve"> the</w:t>
      </w:r>
      <w:r w:rsidR="00BB0A59">
        <w:t xml:space="preserve"> Freedom of Information (Scotland) (No2) Bill along with </w:t>
      </w:r>
      <w:r w:rsidR="00BB0A59" w:rsidRPr="00BB0A59">
        <w:rPr>
          <w:szCs w:val="24"/>
        </w:rPr>
        <w:t>Explanatory Notes</w:t>
      </w:r>
      <w:r w:rsidR="00D86DCD">
        <w:rPr>
          <w:szCs w:val="24"/>
        </w:rPr>
        <w:t xml:space="preserve">. </w:t>
      </w:r>
      <w:r w:rsidR="00A6039D">
        <w:rPr>
          <w:rStyle w:val="EndnoteReference"/>
          <w:szCs w:val="24"/>
        </w:rPr>
        <w:endnoteReference w:id="22"/>
      </w:r>
      <w:r w:rsidR="00D86DCD">
        <w:rPr>
          <w:szCs w:val="24"/>
        </w:rPr>
        <w:t xml:space="preserve"> </w:t>
      </w:r>
      <w:r w:rsidR="00A846FC">
        <w:rPr>
          <w:szCs w:val="24"/>
        </w:rPr>
        <w:t>which</w:t>
      </w:r>
      <w:r w:rsidR="00D86DCD">
        <w:rPr>
          <w:szCs w:val="24"/>
        </w:rPr>
        <w:t xml:space="preserve"> is</w:t>
      </w:r>
      <w:r w:rsidR="002D22A8">
        <w:rPr>
          <w:szCs w:val="24"/>
        </w:rPr>
        <w:t xml:space="preserve"> subject </w:t>
      </w:r>
      <w:r w:rsidR="001A29A4">
        <w:rPr>
          <w:szCs w:val="24"/>
        </w:rPr>
        <w:t>to</w:t>
      </w:r>
      <w:r w:rsidR="002D22A8">
        <w:rPr>
          <w:szCs w:val="24"/>
        </w:rPr>
        <w:t xml:space="preserve"> public consultation.  </w:t>
      </w:r>
      <w:r w:rsidR="00BB0A59">
        <w:t xml:space="preserve">The Bill reforms </w:t>
      </w:r>
      <w:r w:rsidR="00BB0A59" w:rsidRPr="00841304">
        <w:t>FoISA</w:t>
      </w:r>
      <w:r w:rsidR="009523B9">
        <w:t xml:space="preserve"> and </w:t>
      </w:r>
      <w:r w:rsidR="009523B9">
        <w:rPr>
          <w:szCs w:val="24"/>
        </w:rPr>
        <w:t>has received positive coverage.</w:t>
      </w:r>
      <w:r w:rsidR="009523B9">
        <w:rPr>
          <w:rStyle w:val="EndnoteReference"/>
          <w:szCs w:val="24"/>
        </w:rPr>
        <w:endnoteReference w:id="23"/>
      </w:r>
      <w:r w:rsidR="002D22A8">
        <w:rPr>
          <w:szCs w:val="24"/>
        </w:rPr>
        <w:t xml:space="preserve">  </w:t>
      </w:r>
      <w:r w:rsidR="001A29A4">
        <w:t>T</w:t>
      </w:r>
      <w:r w:rsidR="00BB0A59">
        <w:t>he Committee</w:t>
      </w:r>
      <w:r w:rsidR="001A29A4">
        <w:t xml:space="preserve"> </w:t>
      </w:r>
      <w:r w:rsidR="00BB0A59">
        <w:t>recommend</w:t>
      </w:r>
      <w:r w:rsidR="001A29A4">
        <w:t xml:space="preserve">ed </w:t>
      </w:r>
      <w:r w:rsidR="00BB0A59">
        <w:t>consult</w:t>
      </w:r>
      <w:r w:rsidR="001A29A4">
        <w:t>ation</w:t>
      </w:r>
      <w:r w:rsidR="00BB0A59">
        <w:t xml:space="preserve"> </w:t>
      </w:r>
      <w:r w:rsidR="001A29A4">
        <w:t>‘</w:t>
      </w:r>
      <w:r w:rsidR="00BB0A59">
        <w:t>on the detail of the proposed changes before bringing forward the necessary legislation.’</w:t>
      </w:r>
      <w:r w:rsidR="00A6039D">
        <w:rPr>
          <w:rStyle w:val="EndnoteReference"/>
        </w:rPr>
        <w:endnoteReference w:id="24"/>
      </w:r>
      <w:r w:rsidR="00A6039D">
        <w:t xml:space="preserve"> </w:t>
      </w:r>
      <w:r w:rsidR="00BB0A59">
        <w:t xml:space="preserve"> </w:t>
      </w:r>
    </w:p>
    <w:p w14:paraId="124FB04F" w14:textId="77777777" w:rsidR="00BB0A59" w:rsidRDefault="00BB0A59" w:rsidP="00BB0A59"/>
    <w:p w14:paraId="162B808C" w14:textId="7159C506" w:rsidR="00BB0A59" w:rsidRDefault="00BB0A59" w:rsidP="00BB0A59">
      <w:r>
        <w:t xml:space="preserve">FoISA is 20 years old and covers information processing and public service delivery which have changed radically and continue to do so.  The law on rights and duties needs to keep up with everyday operations so reform is urgently needed to update the law, address legal loopholes and introduce duties to prohibit practices which undermine legal rights and improve implementation.  </w:t>
      </w:r>
    </w:p>
    <w:p w14:paraId="1DEF3707" w14:textId="77777777" w:rsidR="00BB0A59" w:rsidRDefault="00BB0A59" w:rsidP="00BB0A59"/>
    <w:p w14:paraId="368FE97D" w14:textId="3DCBD848" w:rsidR="00541CD4" w:rsidRDefault="00541CD4" w:rsidP="00541CD4">
      <w:pPr>
        <w:rPr>
          <w:szCs w:val="24"/>
        </w:rPr>
      </w:pPr>
      <w:r>
        <w:rPr>
          <w:szCs w:val="24"/>
        </w:rPr>
        <w:t>The Sustainable Development Goals (SDGs)</w:t>
      </w:r>
      <w:r w:rsidR="002D22A8">
        <w:rPr>
          <w:szCs w:val="24"/>
        </w:rPr>
        <w:t xml:space="preserve"> have </w:t>
      </w:r>
      <w:r w:rsidR="001A29A4">
        <w:rPr>
          <w:szCs w:val="24"/>
        </w:rPr>
        <w:t>influenced</w:t>
      </w:r>
      <w:r w:rsidR="002D22A8">
        <w:rPr>
          <w:szCs w:val="24"/>
        </w:rPr>
        <w:t xml:space="preserve"> the CFoIS Bill. </w:t>
      </w:r>
      <w:r>
        <w:rPr>
          <w:szCs w:val="24"/>
        </w:rPr>
        <w:t xml:space="preserve"> </w:t>
      </w:r>
      <w:r w:rsidRPr="008432F9">
        <w:rPr>
          <w:szCs w:val="24"/>
        </w:rPr>
        <w:t xml:space="preserve">Goal 16 </w:t>
      </w:r>
      <w:r>
        <w:rPr>
          <w:szCs w:val="24"/>
        </w:rPr>
        <w:t xml:space="preserve">assists the process as it </w:t>
      </w:r>
      <w:r w:rsidRPr="008432F9">
        <w:rPr>
          <w:szCs w:val="24"/>
        </w:rPr>
        <w:t>sets two relevant targets for the Scottish Government: to develop effective, accountable and transparent institutions at all levels (16.6) and to ensure public access to information and protect fundamental freedoms, in accordance with national legislation and international agreements (16.10). Compliance has increased in importance and in 2019, the UN upgraded the status of an indicator to measure access to information within the SDGs. Scotland has its own declared ambition that its ‘National Performance Framework (NPF) and the Goals share the same aims.’</w:t>
      </w:r>
    </w:p>
    <w:p w14:paraId="0EBF447B" w14:textId="5AB2E8AA" w:rsidR="00A6039D" w:rsidRDefault="00A6039D" w:rsidP="00541CD4">
      <w:pPr>
        <w:rPr>
          <w:szCs w:val="24"/>
        </w:rPr>
      </w:pPr>
    </w:p>
    <w:p w14:paraId="1C94B4A0" w14:textId="373E5089" w:rsidR="00A6039D" w:rsidRDefault="00A6039D" w:rsidP="00541CD4">
      <w:pPr>
        <w:rPr>
          <w:szCs w:val="24"/>
        </w:rPr>
      </w:pPr>
      <w:r w:rsidRPr="00A6039D">
        <w:rPr>
          <w:b/>
          <w:bCs/>
          <w:szCs w:val="24"/>
        </w:rPr>
        <w:t>Recommendation</w:t>
      </w:r>
      <w:r w:rsidR="002D22A8">
        <w:rPr>
          <w:b/>
          <w:bCs/>
          <w:szCs w:val="24"/>
        </w:rPr>
        <w:t xml:space="preserve"> </w:t>
      </w:r>
      <w:r w:rsidR="00A846FC">
        <w:rPr>
          <w:b/>
          <w:bCs/>
          <w:szCs w:val="24"/>
        </w:rPr>
        <w:t>6</w:t>
      </w:r>
      <w:r w:rsidRPr="00A6039D">
        <w:rPr>
          <w:b/>
          <w:bCs/>
          <w:szCs w:val="24"/>
        </w:rPr>
        <w:t>:</w:t>
      </w:r>
      <w:r>
        <w:rPr>
          <w:szCs w:val="24"/>
        </w:rPr>
        <w:t xml:space="preserve">  The Scottish Government agrees to amend FoISA as a matter of urgency and agrees to ensure that </w:t>
      </w:r>
      <w:r w:rsidR="0076056B">
        <w:rPr>
          <w:szCs w:val="24"/>
        </w:rPr>
        <w:t>legislation</w:t>
      </w:r>
      <w:r>
        <w:rPr>
          <w:szCs w:val="24"/>
        </w:rPr>
        <w:t xml:space="preserve"> now complies with human </w:t>
      </w:r>
      <w:r w:rsidR="0076056B">
        <w:rPr>
          <w:szCs w:val="24"/>
        </w:rPr>
        <w:t>rights</w:t>
      </w:r>
      <w:r>
        <w:rPr>
          <w:szCs w:val="24"/>
        </w:rPr>
        <w:t xml:space="preserve"> law, jurisprudence at the European Court of Human Rights, the SDGC, UNGPs and the Tromso Convention.</w:t>
      </w:r>
    </w:p>
    <w:p w14:paraId="49FD2964" w14:textId="77777777" w:rsidR="00541CD4" w:rsidRDefault="00541CD4" w:rsidP="00541CD4">
      <w:pPr>
        <w:rPr>
          <w:szCs w:val="24"/>
        </w:rPr>
      </w:pPr>
    </w:p>
    <w:p w14:paraId="163729A4" w14:textId="186BC569" w:rsidR="00181F53" w:rsidRPr="00181F53" w:rsidRDefault="00181F53" w:rsidP="00181F53">
      <w:pPr>
        <w:pStyle w:val="ListParagraph"/>
        <w:numPr>
          <w:ilvl w:val="0"/>
          <w:numId w:val="23"/>
        </w:numPr>
        <w:rPr>
          <w:b/>
          <w:bCs/>
          <w:sz w:val="28"/>
        </w:rPr>
      </w:pPr>
      <w:r w:rsidRPr="00181F53">
        <w:rPr>
          <w:b/>
          <w:bCs/>
          <w:sz w:val="28"/>
        </w:rPr>
        <w:t>Business and Human Rights</w:t>
      </w:r>
    </w:p>
    <w:p w14:paraId="5D45271B" w14:textId="77777777" w:rsidR="00181F53" w:rsidRDefault="00181F53" w:rsidP="00181F53">
      <w:pPr>
        <w:rPr>
          <w:szCs w:val="24"/>
        </w:rPr>
      </w:pPr>
      <w:r w:rsidRPr="008D1018">
        <w:t>I</w:t>
      </w:r>
      <w:r>
        <w:t>n</w:t>
      </w:r>
      <w:r w:rsidRPr="008D1018">
        <w:t xml:space="preserve"> 2021</w:t>
      </w:r>
      <w:r>
        <w:t>,</w:t>
      </w:r>
      <w:r w:rsidRPr="008D1018">
        <w:t xml:space="preserve"> the UN marked 10 years of the </w:t>
      </w:r>
      <w:r>
        <w:t xml:space="preserve">31 </w:t>
      </w:r>
      <w:r w:rsidRPr="008D1018">
        <w:t>Guiding Principles on Business &amp; Human Rights</w:t>
      </w:r>
      <w:r>
        <w:t xml:space="preserve"> (UNGPs).  The </w:t>
      </w:r>
      <w:r>
        <w:rPr>
          <w:szCs w:val="24"/>
        </w:rPr>
        <w:t>UK was the first country to adopt a ‘National Action Plan on Business and Human Rights’, in 2013, based on the UNGPs which has been updated and progress reports issued such as in May 2020</w:t>
      </w:r>
      <w:r>
        <w:rPr>
          <w:rStyle w:val="EndnoteReference"/>
          <w:szCs w:val="24"/>
        </w:rPr>
        <w:endnoteReference w:id="25"/>
      </w:r>
      <w:r>
        <w:rPr>
          <w:szCs w:val="24"/>
        </w:rPr>
        <w:t>.  However the Government emphasises the voluntary nature of the regime.  There is no separate Scottish document despite a published baseline assessment</w:t>
      </w:r>
      <w:r>
        <w:rPr>
          <w:rStyle w:val="EndnoteReference"/>
          <w:szCs w:val="24"/>
        </w:rPr>
        <w:endnoteReference w:id="26"/>
      </w:r>
      <w:r>
        <w:rPr>
          <w:szCs w:val="24"/>
        </w:rPr>
        <w:t xml:space="preserve"> and a statement of commitment from the Scottish Government.</w:t>
      </w:r>
      <w:r>
        <w:rPr>
          <w:rStyle w:val="EndnoteReference"/>
          <w:szCs w:val="24"/>
        </w:rPr>
        <w:endnoteReference w:id="27"/>
      </w:r>
      <w:r>
        <w:rPr>
          <w:szCs w:val="24"/>
        </w:rPr>
        <w:t xml:space="preserve"> The Scottish Parliament hosted a global conference, in October 2010, to discuss the issues which was attended by over 80 countries as well as UN staff. </w:t>
      </w:r>
    </w:p>
    <w:p w14:paraId="40FA2F4B" w14:textId="77777777" w:rsidR="00181F53" w:rsidRDefault="00181F53" w:rsidP="00181F53">
      <w:pPr>
        <w:rPr>
          <w:szCs w:val="24"/>
        </w:rPr>
      </w:pPr>
    </w:p>
    <w:p w14:paraId="58F52D15" w14:textId="77777777" w:rsidR="00181F53" w:rsidRDefault="00181F53" w:rsidP="00181F53">
      <w:pPr>
        <w:rPr>
          <w:szCs w:val="24"/>
        </w:rPr>
      </w:pPr>
      <w:r>
        <w:rPr>
          <w:szCs w:val="24"/>
        </w:rPr>
        <w:t>The UNGPs promote the UK’s duty to protect human rights and the corporate responsibility to respect human rights</w:t>
      </w:r>
      <w:r>
        <w:rPr>
          <w:rStyle w:val="EndnoteReference"/>
          <w:szCs w:val="24"/>
        </w:rPr>
        <w:endnoteReference w:id="28"/>
      </w:r>
      <w:r>
        <w:rPr>
          <w:szCs w:val="24"/>
        </w:rPr>
        <w:t xml:space="preserve">. Remedies must also be available to prevent and address human rights abuses by state and non-state actors.  So far, progress has been slow on mainstreaming the UNGPs across the UK’s territorial jurisdiction </w:t>
      </w:r>
    </w:p>
    <w:p w14:paraId="50CF5A7E" w14:textId="77777777" w:rsidR="00181F53" w:rsidRDefault="00181F53" w:rsidP="00181F53">
      <w:pPr>
        <w:rPr>
          <w:szCs w:val="24"/>
        </w:rPr>
      </w:pPr>
    </w:p>
    <w:p w14:paraId="3DCF61C6" w14:textId="7BC6DDEB" w:rsidR="00181F53" w:rsidRDefault="00181F53" w:rsidP="00181F53">
      <w:pPr>
        <w:rPr>
          <w:szCs w:val="24"/>
        </w:rPr>
      </w:pPr>
      <w:r w:rsidRPr="0076056B">
        <w:rPr>
          <w:b/>
          <w:bCs/>
          <w:szCs w:val="24"/>
        </w:rPr>
        <w:t>Recommendation</w:t>
      </w:r>
      <w:r>
        <w:rPr>
          <w:b/>
          <w:bCs/>
          <w:szCs w:val="24"/>
        </w:rPr>
        <w:t xml:space="preserve"> </w:t>
      </w:r>
      <w:r w:rsidR="00A846FC">
        <w:rPr>
          <w:b/>
          <w:bCs/>
          <w:szCs w:val="24"/>
        </w:rPr>
        <w:t>7</w:t>
      </w:r>
      <w:r>
        <w:rPr>
          <w:szCs w:val="24"/>
        </w:rPr>
        <w:t xml:space="preserve">: The Scottish Government should move from a voluntary commitment on Business and Human Rights and delivery of the UNGPs, to providing a transparent and accountable framework in the new Human Rights Bill for Scotland. </w:t>
      </w:r>
    </w:p>
    <w:p w14:paraId="129C1708" w14:textId="092C51F2" w:rsidR="009475C8" w:rsidRDefault="009475C8" w:rsidP="00181F53">
      <w:pPr>
        <w:rPr>
          <w:szCs w:val="24"/>
        </w:rPr>
      </w:pPr>
    </w:p>
    <w:p w14:paraId="1AC0A6A9" w14:textId="0603A5D4" w:rsidR="009475C8" w:rsidRDefault="009475C8" w:rsidP="009475C8">
      <w:pPr>
        <w:rPr>
          <w:szCs w:val="24"/>
        </w:rPr>
      </w:pPr>
      <w:r w:rsidRPr="009475C8">
        <w:rPr>
          <w:b/>
          <w:bCs/>
          <w:szCs w:val="24"/>
        </w:rPr>
        <w:lastRenderedPageBreak/>
        <w:t xml:space="preserve">Recommendation </w:t>
      </w:r>
      <w:r w:rsidR="00A846FC">
        <w:rPr>
          <w:b/>
          <w:bCs/>
          <w:szCs w:val="24"/>
        </w:rPr>
        <w:t>8</w:t>
      </w:r>
      <w:r>
        <w:rPr>
          <w:szCs w:val="24"/>
        </w:rPr>
        <w:t xml:space="preserve">: </w:t>
      </w:r>
      <w:r>
        <w:t>T</w:t>
      </w:r>
      <w:r w:rsidRPr="006C5085">
        <w:t>he adoption of the National Action Plan on Business and Human Rights</w:t>
      </w:r>
      <w:r>
        <w:t xml:space="preserve"> is welcome but it is regrettable that there is a continued</w:t>
      </w:r>
      <w:r w:rsidRPr="006C5085">
        <w:t xml:space="preserve"> lack of a regulatory framework to ensure that companies operating in the State party, as well as companies domiciled under its jurisdiction acting abroad, fully respect economic, social and cultural rights. </w:t>
      </w:r>
      <w:r>
        <w:t xml:space="preserve">The UK should legislate for a robust regulatory regime underpinned by transparency which enables informed scrutiny. </w:t>
      </w:r>
    </w:p>
    <w:p w14:paraId="045061B2" w14:textId="77777777" w:rsidR="009475C8" w:rsidRDefault="009475C8" w:rsidP="00181F53">
      <w:pPr>
        <w:rPr>
          <w:szCs w:val="24"/>
        </w:rPr>
      </w:pPr>
    </w:p>
    <w:p w14:paraId="30878369" w14:textId="528A0A46" w:rsidR="007F5576" w:rsidRPr="00366799" w:rsidRDefault="007F5576" w:rsidP="00181F53">
      <w:pPr>
        <w:pStyle w:val="ListParagraph"/>
        <w:numPr>
          <w:ilvl w:val="0"/>
          <w:numId w:val="23"/>
        </w:numPr>
        <w:rPr>
          <w:b/>
          <w:bCs/>
          <w:sz w:val="28"/>
        </w:rPr>
      </w:pPr>
      <w:r w:rsidRPr="00366799">
        <w:rPr>
          <w:b/>
          <w:bCs/>
          <w:sz w:val="28"/>
        </w:rPr>
        <w:t>Transparency and Accountability in Public Services</w:t>
      </w:r>
    </w:p>
    <w:p w14:paraId="501C1DD3" w14:textId="06CAF5B4" w:rsidR="002E5EA4" w:rsidRPr="009475C8" w:rsidRDefault="008432F9" w:rsidP="009475C8">
      <w:pPr>
        <w:rPr>
          <w:rFonts w:eastAsia="Times New Roman"/>
          <w:color w:val="333333"/>
          <w:szCs w:val="24"/>
          <w:lang w:eastAsia="en-GB"/>
        </w:rPr>
      </w:pPr>
      <w:r>
        <w:t xml:space="preserve">How </w:t>
      </w:r>
      <w:r w:rsidR="009475C8">
        <w:t>the public sector</w:t>
      </w:r>
      <w:r>
        <w:t xml:space="preserve"> and public companies perform on the 31 </w:t>
      </w:r>
      <w:r w:rsidR="002E5EA4">
        <w:t xml:space="preserve">UNGPs, especially numbers 4 - 6, </w:t>
      </w:r>
      <w:r>
        <w:t xml:space="preserve">is a matter </w:t>
      </w:r>
      <w:r w:rsidR="002E5EA4">
        <w:t>requiring</w:t>
      </w:r>
      <w:r>
        <w:t xml:space="preserve"> greater transparency, accountability and scrutiny in Scotland</w:t>
      </w:r>
      <w:r w:rsidR="001F6247">
        <w:t>.</w:t>
      </w:r>
      <w:r>
        <w:t xml:space="preserve">  </w:t>
      </w:r>
      <w:r w:rsidR="0016609D">
        <w:t xml:space="preserve">Government response to the global pandemic and deaths from COVID19 have </w:t>
      </w:r>
      <w:r w:rsidR="00F94D56">
        <w:t>highlighted the importance of</w:t>
      </w:r>
      <w:r w:rsidR="0016609D">
        <w:t xml:space="preserve"> public procurement</w:t>
      </w:r>
      <w:r w:rsidR="00422AC5">
        <w:t xml:space="preserve"> in the delivery of services of a public nature</w:t>
      </w:r>
      <w:r w:rsidR="0016609D" w:rsidRPr="009475C8">
        <w:rPr>
          <w:szCs w:val="24"/>
        </w:rPr>
        <w:t>.</w:t>
      </w:r>
      <w:r w:rsidR="00F94D56" w:rsidRPr="009475C8">
        <w:rPr>
          <w:szCs w:val="24"/>
        </w:rPr>
        <w:t xml:space="preserve">  </w:t>
      </w:r>
      <w:r w:rsidR="002E5EA4" w:rsidRPr="009475C8">
        <w:rPr>
          <w:rFonts w:eastAsia="Times New Roman"/>
          <w:color w:val="333333"/>
          <w:szCs w:val="24"/>
          <w:lang w:eastAsia="en-GB"/>
        </w:rPr>
        <w:t>A freedom of information request to the Scottish Government in March 2021 revealed that</w:t>
      </w:r>
      <w:r w:rsidR="00D86DCD">
        <w:rPr>
          <w:rFonts w:eastAsia="Times New Roman"/>
          <w:color w:val="333333"/>
          <w:szCs w:val="24"/>
          <w:lang w:eastAsia="en-GB"/>
        </w:rPr>
        <w:t xml:space="preserve"> </w:t>
      </w:r>
      <w:r w:rsidR="00D86DCD" w:rsidRPr="009475C8">
        <w:rPr>
          <w:rFonts w:eastAsia="Times New Roman"/>
          <w:color w:val="333333"/>
          <w:szCs w:val="24"/>
          <w:lang w:eastAsia="en-GB"/>
        </w:rPr>
        <w:t>during the 2016-2021 parliamentary session </w:t>
      </w:r>
      <w:r w:rsidR="002E5EA4" w:rsidRPr="009475C8">
        <w:rPr>
          <w:rFonts w:eastAsia="Times New Roman"/>
          <w:color w:val="333333"/>
          <w:szCs w:val="24"/>
          <w:lang w:eastAsia="en-GB"/>
        </w:rPr>
        <w:t>:</w:t>
      </w:r>
    </w:p>
    <w:p w14:paraId="14355D1E" w14:textId="3340AB78" w:rsidR="002E5EA4" w:rsidRPr="009475C8" w:rsidRDefault="002E5EA4" w:rsidP="002E5EA4">
      <w:pPr>
        <w:shd w:val="clear" w:color="auto" w:fill="FFFFFF"/>
        <w:rPr>
          <w:rFonts w:eastAsia="Times New Roman"/>
          <w:color w:val="333333"/>
          <w:szCs w:val="24"/>
          <w:lang w:eastAsia="en-GB"/>
        </w:rPr>
      </w:pPr>
      <w:r w:rsidRPr="009475C8">
        <w:rPr>
          <w:rFonts w:eastAsia="Times New Roman"/>
          <w:color w:val="333333"/>
          <w:szCs w:val="24"/>
          <w:lang w:eastAsia="en-GB"/>
        </w:rPr>
        <w:t xml:space="preserve">1)  </w:t>
      </w:r>
      <w:r w:rsidR="00D86DCD">
        <w:rPr>
          <w:rFonts w:eastAsia="Times New Roman"/>
          <w:color w:val="333333"/>
          <w:szCs w:val="24"/>
          <w:lang w:eastAsia="en-GB"/>
        </w:rPr>
        <w:t>C</w:t>
      </w:r>
      <w:r w:rsidRPr="009475C8">
        <w:rPr>
          <w:rFonts w:eastAsia="Times New Roman"/>
          <w:color w:val="333333"/>
          <w:szCs w:val="24"/>
          <w:lang w:eastAsia="en-GB"/>
        </w:rPr>
        <w:t>ontracts awarded by the Scottish Government </w:t>
      </w:r>
      <w:r w:rsidRPr="009475C8">
        <w:rPr>
          <w:rFonts w:eastAsia="Times New Roman"/>
          <w:b/>
          <w:bCs/>
          <w:color w:val="333333"/>
          <w:szCs w:val="24"/>
          <w:lang w:eastAsia="en-GB"/>
        </w:rPr>
        <w:t>- 2987</w:t>
      </w:r>
    </w:p>
    <w:p w14:paraId="5E420F3B" w14:textId="52FEF375" w:rsidR="002E5EA4" w:rsidRPr="009475C8" w:rsidRDefault="002E5EA4" w:rsidP="002E5EA4">
      <w:pPr>
        <w:shd w:val="clear" w:color="auto" w:fill="FFFFFF"/>
        <w:rPr>
          <w:rFonts w:eastAsia="Times New Roman"/>
          <w:color w:val="333333"/>
          <w:szCs w:val="24"/>
          <w:lang w:eastAsia="en-GB"/>
        </w:rPr>
      </w:pPr>
      <w:r w:rsidRPr="009475C8">
        <w:rPr>
          <w:rFonts w:eastAsia="Times New Roman"/>
          <w:color w:val="333333"/>
          <w:szCs w:val="24"/>
          <w:lang w:eastAsia="en-GB"/>
        </w:rPr>
        <w:t xml:space="preserve">2) </w:t>
      </w:r>
      <w:r w:rsidR="00D86DCD">
        <w:rPr>
          <w:rFonts w:eastAsia="Times New Roman"/>
          <w:color w:val="333333"/>
          <w:szCs w:val="24"/>
          <w:lang w:eastAsia="en-GB"/>
        </w:rPr>
        <w:t>C</w:t>
      </w:r>
      <w:r w:rsidRPr="009475C8">
        <w:rPr>
          <w:rFonts w:eastAsia="Times New Roman"/>
          <w:color w:val="333333"/>
          <w:szCs w:val="24"/>
          <w:lang w:eastAsia="en-GB"/>
        </w:rPr>
        <w:t xml:space="preserve">ompanies based outside Scotland awarded contracts by the Scottish Government </w:t>
      </w:r>
      <w:r w:rsidRPr="009475C8">
        <w:rPr>
          <w:rFonts w:eastAsia="Times New Roman"/>
          <w:b/>
          <w:bCs/>
          <w:color w:val="333333"/>
          <w:szCs w:val="24"/>
          <w:lang w:eastAsia="en-GB"/>
        </w:rPr>
        <w:t>- 735</w:t>
      </w:r>
    </w:p>
    <w:p w14:paraId="274F2147" w14:textId="4E079685" w:rsidR="002E5EA4" w:rsidRPr="009475C8" w:rsidRDefault="002E5EA4" w:rsidP="002E5EA4">
      <w:pPr>
        <w:shd w:val="clear" w:color="auto" w:fill="FFFFFF"/>
        <w:rPr>
          <w:rFonts w:eastAsia="Times New Roman"/>
          <w:color w:val="333333"/>
          <w:szCs w:val="24"/>
          <w:lang w:eastAsia="en-GB"/>
        </w:rPr>
      </w:pPr>
      <w:r w:rsidRPr="009475C8">
        <w:rPr>
          <w:rFonts w:eastAsia="Times New Roman"/>
          <w:color w:val="333333"/>
          <w:szCs w:val="24"/>
          <w:lang w:eastAsia="en-GB"/>
        </w:rPr>
        <w:t xml:space="preserve">3) </w:t>
      </w:r>
      <w:r w:rsidR="00D86DCD">
        <w:rPr>
          <w:rFonts w:eastAsia="Times New Roman"/>
          <w:color w:val="333333"/>
          <w:szCs w:val="24"/>
          <w:lang w:eastAsia="en-GB"/>
        </w:rPr>
        <w:t>N</w:t>
      </w:r>
      <w:r w:rsidRPr="009475C8">
        <w:rPr>
          <w:rFonts w:eastAsia="Times New Roman"/>
          <w:color w:val="333333"/>
          <w:szCs w:val="24"/>
          <w:lang w:eastAsia="en-GB"/>
        </w:rPr>
        <w:t xml:space="preserve">on-UK companies awarded contracts by the Scottish Government </w:t>
      </w:r>
      <w:r w:rsidRPr="009475C8">
        <w:rPr>
          <w:rFonts w:eastAsia="Times New Roman"/>
          <w:b/>
          <w:bCs/>
          <w:color w:val="333333"/>
          <w:szCs w:val="24"/>
          <w:lang w:eastAsia="en-GB"/>
        </w:rPr>
        <w:t>- 39</w:t>
      </w:r>
    </w:p>
    <w:p w14:paraId="25173378" w14:textId="6DB92B97" w:rsidR="00422AC5" w:rsidRPr="009475C8" w:rsidRDefault="002E5EA4" w:rsidP="005120EA">
      <w:pPr>
        <w:shd w:val="clear" w:color="auto" w:fill="FFFFFF"/>
        <w:rPr>
          <w:rFonts w:eastAsia="Times New Roman"/>
          <w:color w:val="333333"/>
          <w:szCs w:val="24"/>
          <w:lang w:eastAsia="en-GB"/>
        </w:rPr>
      </w:pPr>
      <w:r w:rsidRPr="009475C8">
        <w:rPr>
          <w:rFonts w:eastAsia="Times New Roman"/>
          <w:color w:val="333333"/>
          <w:szCs w:val="24"/>
          <w:lang w:eastAsia="en-GB"/>
        </w:rPr>
        <w:t xml:space="preserve">4) </w:t>
      </w:r>
      <w:r w:rsidR="00D86DCD">
        <w:rPr>
          <w:rFonts w:eastAsia="Times New Roman"/>
          <w:color w:val="333333"/>
          <w:szCs w:val="24"/>
          <w:lang w:eastAsia="en-GB"/>
        </w:rPr>
        <w:t>V</w:t>
      </w:r>
      <w:r w:rsidRPr="009475C8">
        <w:rPr>
          <w:rFonts w:eastAsia="Times New Roman"/>
          <w:color w:val="333333"/>
          <w:szCs w:val="24"/>
          <w:lang w:eastAsia="en-GB"/>
        </w:rPr>
        <w:t xml:space="preserve">alue of contracts awarded by the Scottish Government </w:t>
      </w:r>
      <w:r w:rsidRPr="009475C8">
        <w:rPr>
          <w:rFonts w:eastAsia="Times New Roman"/>
          <w:b/>
          <w:bCs/>
          <w:color w:val="333333"/>
          <w:szCs w:val="24"/>
          <w:lang w:eastAsia="en-GB"/>
        </w:rPr>
        <w:t>- £3,209,786,818</w:t>
      </w:r>
      <w:r w:rsidR="005120EA" w:rsidRPr="009475C8">
        <w:rPr>
          <w:rFonts w:eastAsia="Times New Roman"/>
          <w:color w:val="333333"/>
          <w:szCs w:val="24"/>
          <w:lang w:eastAsia="en-GB"/>
        </w:rPr>
        <w:t>.</w:t>
      </w:r>
      <w:r w:rsidR="005120EA" w:rsidRPr="009475C8">
        <w:rPr>
          <w:rStyle w:val="EndnoteReference"/>
          <w:rFonts w:eastAsia="Times New Roman"/>
          <w:color w:val="333333"/>
          <w:szCs w:val="24"/>
          <w:lang w:eastAsia="en-GB"/>
        </w:rPr>
        <w:endnoteReference w:id="29"/>
      </w:r>
    </w:p>
    <w:p w14:paraId="27B12C02" w14:textId="77777777" w:rsidR="00541CD4" w:rsidRPr="009475C8" w:rsidRDefault="00541CD4" w:rsidP="007E5576">
      <w:pPr>
        <w:rPr>
          <w:b/>
          <w:bCs/>
          <w:szCs w:val="24"/>
        </w:rPr>
      </w:pPr>
    </w:p>
    <w:p w14:paraId="0B2396F1" w14:textId="5660C76E" w:rsidR="008F4B90" w:rsidRDefault="0016609D" w:rsidP="008F4B90">
      <w:r>
        <w:t xml:space="preserve">CFoIS has sought, so far unsuccessfully, to obtain the names of </w:t>
      </w:r>
      <w:r w:rsidR="004749F8">
        <w:t>‘publicly owned companies’</w:t>
      </w:r>
      <w:r>
        <w:t xml:space="preserve"> in Scotland.  We requested specific information on names, using </w:t>
      </w:r>
      <w:r w:rsidRPr="0016609D">
        <w:t>FoISA, after we discovered</w:t>
      </w:r>
      <w:r w:rsidRPr="0016609D">
        <w:rPr>
          <w:lang w:val="en-US"/>
        </w:rPr>
        <w:t xml:space="preserve"> tables in a Scottish Government statistical publication 'Business in Scotland 2018'.  As the total number was given, we requested the names used in the statistical analysis.  The case went to</w:t>
      </w:r>
      <w:r w:rsidR="001F6247">
        <w:rPr>
          <w:lang w:val="en-US"/>
        </w:rPr>
        <w:t xml:space="preserve"> </w:t>
      </w:r>
      <w:r w:rsidR="004749F8" w:rsidRPr="0016609D">
        <w:t>the Scottish Information Commissioner</w:t>
      </w:r>
      <w:r w:rsidR="004749F8">
        <w:t xml:space="preserve"> (SIC). The SIC has issued his judgement and Scottish Ministers do not have to disclose the information. The result of our FoI request</w:t>
      </w:r>
      <w:r w:rsidR="001F6247">
        <w:t>s</w:t>
      </w:r>
      <w:r w:rsidR="004749F8">
        <w:t xml:space="preserve"> is that two separate lists now exist: a statistical list of 245 companies (35 + 210) which the Scottish Government has published and a list that was separately provided by the SIC, after an FoI request, that names 146. </w:t>
      </w:r>
      <w:r>
        <w:t>There is a gap in accountability as well as transparency.</w:t>
      </w:r>
      <w:r w:rsidR="004749F8">
        <w:t xml:space="preserve"> This information should be publicly available</w:t>
      </w:r>
      <w:r w:rsidR="005120EA">
        <w:rPr>
          <w:rStyle w:val="EndnoteReference"/>
        </w:rPr>
        <w:endnoteReference w:id="30"/>
      </w:r>
      <w:r w:rsidR="005120EA">
        <w:t>.</w:t>
      </w:r>
      <w:r w:rsidR="009523B9">
        <w:t xml:space="preserve">  </w:t>
      </w:r>
    </w:p>
    <w:p w14:paraId="3F070022" w14:textId="3F569C40" w:rsidR="009C4AE8" w:rsidRDefault="009C4AE8" w:rsidP="002A5E31">
      <w:pPr>
        <w:rPr>
          <w:rStyle w:val="Hyperlink"/>
        </w:rPr>
      </w:pPr>
    </w:p>
    <w:p w14:paraId="0C502FAE" w14:textId="5E8E994F" w:rsidR="0076056B" w:rsidRPr="009523B9" w:rsidRDefault="0076056B" w:rsidP="0076056B">
      <w:pPr>
        <w:rPr>
          <w:szCs w:val="24"/>
        </w:rPr>
      </w:pPr>
      <w:r w:rsidRPr="009475C8">
        <w:rPr>
          <w:b/>
          <w:bCs/>
        </w:rPr>
        <w:t>Recommendation</w:t>
      </w:r>
      <w:r w:rsidR="009475C8" w:rsidRPr="009475C8">
        <w:rPr>
          <w:b/>
          <w:bCs/>
        </w:rPr>
        <w:t xml:space="preserve"> </w:t>
      </w:r>
      <w:r w:rsidR="00A846FC">
        <w:rPr>
          <w:b/>
          <w:bCs/>
        </w:rPr>
        <w:t>9</w:t>
      </w:r>
      <w:r>
        <w:t xml:space="preserve">: </w:t>
      </w:r>
      <w:r w:rsidR="009475C8">
        <w:t>T</w:t>
      </w:r>
      <w:r>
        <w:rPr>
          <w:szCs w:val="24"/>
        </w:rPr>
        <w:t>he UK and the Scottish Governments</w:t>
      </w:r>
      <w:r>
        <w:t xml:space="preserve"> should ensure that governmental departments, agencies and other State-based institutions that shape business practices are aware of and observe</w:t>
      </w:r>
      <w:r w:rsidR="002B0E90">
        <w:t>,</w:t>
      </w:r>
      <w:r>
        <w:t xml:space="preserve"> the State’s human rights obligations when fulfilling their respective mandates, including by providing them with relevant information, training and support.</w:t>
      </w:r>
    </w:p>
    <w:p w14:paraId="78B50EED" w14:textId="7B41CD05" w:rsidR="0076056B" w:rsidRPr="0076056B" w:rsidRDefault="0076056B" w:rsidP="0076056B"/>
    <w:p w14:paraId="1E563EFA" w14:textId="77777777" w:rsidR="0033399F" w:rsidRPr="0033399F" w:rsidRDefault="0033399F" w:rsidP="0033399F">
      <w:pPr>
        <w:rPr>
          <w:b/>
          <w:bCs/>
          <w:szCs w:val="24"/>
        </w:rPr>
      </w:pPr>
      <w:r w:rsidRPr="0033399F">
        <w:rPr>
          <w:b/>
          <w:bCs/>
          <w:szCs w:val="24"/>
        </w:rPr>
        <w:t>CFoIS,</w:t>
      </w:r>
    </w:p>
    <w:p w14:paraId="6DBAC5F3" w14:textId="77777777" w:rsidR="0033399F" w:rsidRDefault="0033399F" w:rsidP="0033399F">
      <w:pPr>
        <w:rPr>
          <w:szCs w:val="24"/>
        </w:rPr>
      </w:pPr>
      <w:r>
        <w:rPr>
          <w:szCs w:val="24"/>
        </w:rPr>
        <w:t>126 West Regent Street, Glasgow G2 2RQ</w:t>
      </w:r>
    </w:p>
    <w:p w14:paraId="3148DFE8" w14:textId="77777777" w:rsidR="0033399F" w:rsidRDefault="0033399F" w:rsidP="0033399F">
      <w:hyperlink r:id="rId9" w:history="1">
        <w:r w:rsidRPr="00AC4DEE">
          <w:rPr>
            <w:rStyle w:val="Hyperlink"/>
            <w:szCs w:val="24"/>
          </w:rPr>
          <w:t>www.cfois.scot</w:t>
        </w:r>
      </w:hyperlink>
      <w:r>
        <w:rPr>
          <w:szCs w:val="24"/>
        </w:rPr>
        <w:t xml:space="preserve"> </w:t>
      </w:r>
      <w:hyperlink r:id="rId10" w:history="1">
        <w:r w:rsidRPr="00AC4DEE">
          <w:rPr>
            <w:rStyle w:val="Hyperlink"/>
            <w:szCs w:val="24"/>
          </w:rPr>
          <w:t>info@cfois.scot</w:t>
        </w:r>
      </w:hyperlink>
      <w:r>
        <w:rPr>
          <w:szCs w:val="24"/>
        </w:rPr>
        <w:t xml:space="preserve"> </w:t>
      </w:r>
      <w:r>
        <w:t xml:space="preserve">@CFoIScot  </w:t>
      </w:r>
    </w:p>
    <w:p w14:paraId="53C29F05" w14:textId="77777777" w:rsidR="0033399F" w:rsidRPr="00A6039D" w:rsidRDefault="0033399F" w:rsidP="0033399F">
      <w:pPr>
        <w:rPr>
          <w:color w:val="000000"/>
          <w:shd w:val="clear" w:color="auto" w:fill="FFFFFF"/>
          <w:lang w:val="en-US"/>
        </w:rPr>
      </w:pPr>
      <w:r>
        <w:t>Contact: Carole Ewart, Convener.</w:t>
      </w:r>
    </w:p>
    <w:p w14:paraId="0C71204D" w14:textId="251AF189" w:rsidR="00B44D29" w:rsidRPr="009C4AE8" w:rsidRDefault="00B44D29" w:rsidP="009C4AE8">
      <w:r w:rsidRPr="009C4AE8">
        <w:br w:type="page"/>
      </w:r>
    </w:p>
    <w:p w14:paraId="5437C6DA" w14:textId="77777777" w:rsidR="008F4B90" w:rsidRPr="005167E4" w:rsidRDefault="008F4B90" w:rsidP="005167E4"/>
    <w:sectPr w:rsidR="008F4B90" w:rsidRPr="005167E4">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D9C8" w14:textId="77777777" w:rsidR="00FC4AFC" w:rsidRDefault="00FC4AFC" w:rsidP="00F66650">
      <w:r>
        <w:separator/>
      </w:r>
    </w:p>
  </w:endnote>
  <w:endnote w:type="continuationSeparator" w:id="0">
    <w:p w14:paraId="01FC9463" w14:textId="77777777" w:rsidR="00FC4AFC" w:rsidRDefault="00FC4AFC" w:rsidP="00F66650">
      <w:r>
        <w:continuationSeparator/>
      </w:r>
    </w:p>
  </w:endnote>
  <w:endnote w:id="1">
    <w:p w14:paraId="1031A8D2" w14:textId="36B31B6E" w:rsidR="00624A00" w:rsidRPr="0064356C" w:rsidRDefault="00624A00" w:rsidP="005120EA">
      <w:pPr>
        <w:pStyle w:val="Heading1"/>
        <w:shd w:val="clear" w:color="auto" w:fill="FFFFFF"/>
        <w:spacing w:before="0" w:beforeAutospacing="0" w:after="0" w:afterAutospacing="0"/>
        <w:rPr>
          <w:rFonts w:ascii="Arial" w:hAnsi="Arial" w:cs="Arial"/>
          <w:sz w:val="20"/>
          <w:szCs w:val="20"/>
        </w:rPr>
      </w:pPr>
      <w:r w:rsidRPr="0064356C">
        <w:rPr>
          <w:rStyle w:val="EndnoteReference"/>
          <w:rFonts w:ascii="Arial" w:hAnsi="Arial" w:cs="Arial"/>
          <w:b w:val="0"/>
          <w:bCs w:val="0"/>
          <w:sz w:val="20"/>
          <w:szCs w:val="20"/>
        </w:rPr>
        <w:endnoteRef/>
      </w:r>
      <w:r w:rsidRPr="0064356C">
        <w:rPr>
          <w:rFonts w:ascii="Arial" w:hAnsi="Arial" w:cs="Arial"/>
          <w:sz w:val="20"/>
          <w:szCs w:val="20"/>
        </w:rPr>
        <w:t xml:space="preserve"> </w:t>
      </w:r>
      <w:r w:rsidRPr="0064356C">
        <w:rPr>
          <w:rFonts w:ascii="Arial" w:hAnsi="Arial" w:cs="Arial"/>
          <w:b w:val="0"/>
          <w:bCs w:val="0"/>
          <w:sz w:val="20"/>
          <w:szCs w:val="20"/>
        </w:rPr>
        <w:t>Preamble to the Universal Declaration of Human Rights</w:t>
      </w:r>
      <w:r w:rsidRPr="0064356C">
        <w:rPr>
          <w:rFonts w:ascii="Arial" w:hAnsi="Arial" w:cs="Arial"/>
          <w:sz w:val="20"/>
          <w:szCs w:val="20"/>
        </w:rPr>
        <w:t xml:space="preserve"> </w:t>
      </w:r>
    </w:p>
  </w:endnote>
  <w:endnote w:id="2">
    <w:p w14:paraId="5FAA923E" w14:textId="6BFAC0AF" w:rsidR="000A043B" w:rsidRPr="0064356C" w:rsidRDefault="000A043B" w:rsidP="005120EA">
      <w:pPr>
        <w:pStyle w:val="HChG"/>
        <w:spacing w:before="0" w:after="0" w:line="240" w:lineRule="auto"/>
        <w:ind w:left="0" w:right="0" w:firstLine="0"/>
        <w:rPr>
          <w:rFonts w:ascii="Arial" w:hAnsi="Arial" w:cs="Arial"/>
          <w:sz w:val="20"/>
        </w:rPr>
      </w:pPr>
      <w:r w:rsidRPr="0064356C">
        <w:rPr>
          <w:rStyle w:val="EndnoteReference"/>
          <w:rFonts w:ascii="Arial" w:hAnsi="Arial" w:cs="Arial"/>
          <w:sz w:val="20"/>
        </w:rPr>
        <w:endnoteRef/>
      </w:r>
      <w:r w:rsidRPr="0064356C">
        <w:rPr>
          <w:rFonts w:ascii="Arial" w:hAnsi="Arial" w:cs="Arial"/>
          <w:sz w:val="20"/>
        </w:rPr>
        <w:t xml:space="preserve"> Para 7, </w:t>
      </w:r>
      <w:r w:rsidRPr="0064356C">
        <w:rPr>
          <w:rFonts w:ascii="Arial" w:hAnsi="Arial" w:cs="Arial"/>
          <w:b w:val="0"/>
          <w:bCs/>
          <w:sz w:val="20"/>
        </w:rPr>
        <w:t>Concluding observations on the sixth periodic report of the United Kingdom of Great Britain and Northern Ireland, 16</w:t>
      </w:r>
      <w:r w:rsidRPr="0064356C">
        <w:rPr>
          <w:rFonts w:ascii="Arial" w:hAnsi="Arial" w:cs="Arial"/>
          <w:b w:val="0"/>
          <w:bCs/>
          <w:sz w:val="20"/>
          <w:vertAlign w:val="superscript"/>
        </w:rPr>
        <w:t>th</w:t>
      </w:r>
      <w:r w:rsidRPr="0064356C">
        <w:rPr>
          <w:rFonts w:ascii="Arial" w:hAnsi="Arial" w:cs="Arial"/>
          <w:b w:val="0"/>
          <w:bCs/>
          <w:sz w:val="20"/>
        </w:rPr>
        <w:t xml:space="preserve"> July 2016.</w:t>
      </w:r>
      <w:r w:rsidR="005120EA" w:rsidRPr="0064356C">
        <w:rPr>
          <w:rFonts w:ascii="Arial" w:hAnsi="Arial" w:cs="Arial"/>
          <w:b w:val="0"/>
          <w:bCs/>
          <w:sz w:val="20"/>
        </w:rPr>
        <w:t xml:space="preserve"> </w:t>
      </w:r>
    </w:p>
  </w:endnote>
  <w:endnote w:id="3">
    <w:p w14:paraId="43693E1F" w14:textId="77777777" w:rsidR="00847879" w:rsidRPr="0064356C" w:rsidRDefault="00847879" w:rsidP="005120EA">
      <w:pPr>
        <w:pStyle w:val="EndnoteText"/>
      </w:pPr>
      <w:r w:rsidRPr="0064356C">
        <w:rPr>
          <w:rStyle w:val="EndnoteReference"/>
        </w:rPr>
        <w:endnoteRef/>
      </w:r>
      <w:r w:rsidRPr="0064356C">
        <w:t xml:space="preserve"> </w:t>
      </w:r>
      <w:hyperlink r:id="rId1" w:anchor=":~:text=The%20Cayman%20Islands%20has%20been%20on%20the%20United,e%20of%20the%20Charter%20of%20the%20United%20Nations." w:history="1">
        <w:r w:rsidRPr="0064356C">
          <w:rPr>
            <w:rStyle w:val="Hyperlink"/>
          </w:rPr>
          <w:t>Cayman Islands | The United Nations and Decolonization</w:t>
        </w:r>
      </w:hyperlink>
    </w:p>
  </w:endnote>
  <w:endnote w:id="4">
    <w:p w14:paraId="37810434" w14:textId="77777777" w:rsidR="00847879" w:rsidRPr="0064356C" w:rsidRDefault="00847879" w:rsidP="005120EA">
      <w:pPr>
        <w:pStyle w:val="EndnoteText"/>
      </w:pPr>
      <w:r w:rsidRPr="0064356C">
        <w:rPr>
          <w:rStyle w:val="EndnoteReference"/>
        </w:rPr>
        <w:endnoteRef/>
      </w:r>
      <w:r w:rsidRPr="0064356C">
        <w:t xml:space="preserve"> Pages 1 and 2 at </w:t>
      </w:r>
      <w:hyperlink r:id="rId2" w:history="1">
        <w:r w:rsidRPr="0064356C">
          <w:rPr>
            <w:rStyle w:val="Hyperlink"/>
          </w:rPr>
          <w:t>A/RES/75/111 - E - A/RES/75/111 -Desktop (undocs.org)</w:t>
        </w:r>
      </w:hyperlink>
    </w:p>
  </w:endnote>
  <w:endnote w:id="5">
    <w:p w14:paraId="11FE7508" w14:textId="54FBDF10" w:rsidR="001D603F" w:rsidRDefault="001D603F">
      <w:pPr>
        <w:pStyle w:val="EndnoteText"/>
      </w:pPr>
      <w:r>
        <w:rPr>
          <w:rStyle w:val="EndnoteReference"/>
        </w:rPr>
        <w:endnoteRef/>
      </w:r>
      <w:r>
        <w:t xml:space="preserve"> </w:t>
      </w:r>
      <w:hyperlink r:id="rId3" w:history="1">
        <w:r>
          <w:rPr>
            <w:rStyle w:val="Hyperlink"/>
          </w:rPr>
          <w:t>Independent Review of Adult Social Care - gov.scot (www.gov.scot)</w:t>
        </w:r>
      </w:hyperlink>
      <w:r>
        <w:rPr>
          <w:rStyle w:val="Hyperlink"/>
        </w:rPr>
        <w:t xml:space="preserve"> </w:t>
      </w:r>
    </w:p>
  </w:endnote>
  <w:endnote w:id="6">
    <w:p w14:paraId="2BD6D992" w14:textId="77777777" w:rsidR="00650DFC" w:rsidRPr="0064356C" w:rsidRDefault="00650DFC" w:rsidP="005120EA">
      <w:pPr>
        <w:pStyle w:val="EndnoteText"/>
      </w:pPr>
      <w:r w:rsidRPr="0064356C">
        <w:rPr>
          <w:rStyle w:val="EndnoteReference"/>
        </w:rPr>
        <w:endnoteRef/>
      </w:r>
      <w:r w:rsidRPr="0064356C">
        <w:t xml:space="preserve"> </w:t>
      </w:r>
      <w:hyperlink r:id="rId4" w:history="1">
        <w:r w:rsidRPr="0064356C">
          <w:rPr>
            <w:rStyle w:val="Hyperlink"/>
          </w:rPr>
          <w:t>Death-Deception-Dividends-Dec-3.5.pdf (cictar.org)</w:t>
        </w:r>
      </w:hyperlink>
    </w:p>
  </w:endnote>
  <w:endnote w:id="7">
    <w:p w14:paraId="6C6574C0" w14:textId="77777777" w:rsidR="00650DFC" w:rsidRPr="0064356C" w:rsidRDefault="00650DFC" w:rsidP="005120EA">
      <w:pPr>
        <w:pStyle w:val="EndnoteText"/>
      </w:pPr>
      <w:r w:rsidRPr="0064356C">
        <w:rPr>
          <w:rStyle w:val="EndnoteReference"/>
        </w:rPr>
        <w:endnoteRef/>
      </w:r>
      <w:r w:rsidRPr="0064356C">
        <w:t xml:space="preserve"> </w:t>
      </w:r>
      <w:hyperlink r:id="rId5" w:history="1">
        <w:r w:rsidRPr="0064356C">
          <w:rPr>
            <w:rStyle w:val="Hyperlink"/>
          </w:rPr>
          <w:t>Fair-Work-in-Scotland’s-Social-Care-Sector-2019.pdf (fairworkconvention.scot)</w:t>
        </w:r>
      </w:hyperlink>
    </w:p>
  </w:endnote>
  <w:endnote w:id="8">
    <w:p w14:paraId="1BAC70D2" w14:textId="77777777" w:rsidR="00D6407E" w:rsidRPr="0064356C" w:rsidRDefault="00D6407E" w:rsidP="005120EA">
      <w:pPr>
        <w:pStyle w:val="EndnoteText"/>
      </w:pPr>
      <w:r w:rsidRPr="0064356C">
        <w:rPr>
          <w:rStyle w:val="EndnoteReference"/>
        </w:rPr>
        <w:endnoteRef/>
      </w:r>
      <w:r w:rsidRPr="0064356C">
        <w:t xml:space="preserve"> </w:t>
      </w:r>
      <w:hyperlink r:id="rId6" w:history="1">
        <w:r w:rsidRPr="0064356C">
          <w:rPr>
            <w:rStyle w:val="Hyperlink"/>
          </w:rPr>
          <w:t>Death-Deception-Dividends-Dec-3.5.pdf (cictar.org)</w:t>
        </w:r>
      </w:hyperlink>
    </w:p>
  </w:endnote>
  <w:endnote w:id="9">
    <w:p w14:paraId="4170D76B" w14:textId="77777777" w:rsidR="00D6407E" w:rsidRPr="0064356C" w:rsidRDefault="00D6407E" w:rsidP="005120EA">
      <w:pPr>
        <w:pStyle w:val="EndnoteText"/>
      </w:pPr>
      <w:r w:rsidRPr="0064356C">
        <w:rPr>
          <w:rStyle w:val="EndnoteReference"/>
        </w:rPr>
        <w:endnoteRef/>
      </w:r>
      <w:r w:rsidRPr="0064356C">
        <w:t xml:space="preserve"> IPPR at </w:t>
      </w:r>
      <w:hyperlink r:id="rId7" w:history="1">
        <w:r w:rsidRPr="0064356C">
          <w:rPr>
            <w:rStyle w:val="Hyperlink"/>
          </w:rPr>
          <w:t>Who cares? Financialisation in social care | IPPR</w:t>
        </w:r>
      </w:hyperlink>
    </w:p>
  </w:endnote>
  <w:endnote w:id="10">
    <w:p w14:paraId="21050761" w14:textId="77777777" w:rsidR="00D6407E" w:rsidRPr="0064356C" w:rsidRDefault="00D6407E" w:rsidP="005120EA">
      <w:pPr>
        <w:pStyle w:val="EndnoteText"/>
      </w:pPr>
      <w:r w:rsidRPr="0064356C">
        <w:rPr>
          <w:rStyle w:val="EndnoteReference"/>
        </w:rPr>
        <w:endnoteRef/>
      </w:r>
      <w:r w:rsidRPr="0064356C">
        <w:t xml:space="preserve"> </w:t>
      </w:r>
      <w:hyperlink r:id="rId8" w:history="1">
        <w:r w:rsidRPr="0064356C">
          <w:rPr>
            <w:rStyle w:val="Hyperlink"/>
          </w:rPr>
          <w:t>Scottish care homes owned by the Chinese state in tax havens (theferret.scot)</w:t>
        </w:r>
      </w:hyperlink>
    </w:p>
  </w:endnote>
  <w:endnote w:id="11">
    <w:p w14:paraId="26C3BF5A" w14:textId="77777777" w:rsidR="0064356C" w:rsidRPr="0064356C" w:rsidRDefault="0064356C" w:rsidP="00126E1E">
      <w:pPr>
        <w:pStyle w:val="EndnoteText"/>
      </w:pPr>
      <w:r w:rsidRPr="0064356C">
        <w:rPr>
          <w:rStyle w:val="EndnoteReference"/>
        </w:rPr>
        <w:endnoteRef/>
      </w:r>
      <w:r w:rsidRPr="0064356C">
        <w:t xml:space="preserve"> At </w:t>
      </w:r>
      <w:hyperlink r:id="rId9" w:anchor=":~:text=The%20Environmental%20Information%20Regulations%202004%20provide%20public%20access,entitled%20to%20request%20environmental%20information%20from%20public%20authorities." w:history="1">
        <w:r w:rsidRPr="0064356C">
          <w:rPr>
            <w:rStyle w:val="Hyperlink"/>
          </w:rPr>
          <w:t>What are the Environmental Information Regulations? | ICO</w:t>
        </w:r>
      </w:hyperlink>
    </w:p>
  </w:endnote>
  <w:endnote w:id="12">
    <w:p w14:paraId="3E90AF58" w14:textId="77777777" w:rsidR="0064356C" w:rsidRPr="0064356C" w:rsidRDefault="0064356C" w:rsidP="00126E1E">
      <w:pPr>
        <w:pStyle w:val="EndnoteText"/>
      </w:pPr>
      <w:r w:rsidRPr="0064356C">
        <w:rPr>
          <w:rStyle w:val="EndnoteReference"/>
        </w:rPr>
        <w:endnoteRef/>
      </w:r>
      <w:r w:rsidRPr="0064356C">
        <w:t xml:space="preserve"> The Act is available at </w:t>
      </w:r>
      <w:hyperlink r:id="rId10" w:history="1">
        <w:r w:rsidRPr="0064356C">
          <w:rPr>
            <w:rStyle w:val="Hyperlink"/>
          </w:rPr>
          <w:t>http://www.legislation.gov.uk/asp/2002/13/contents</w:t>
        </w:r>
      </w:hyperlink>
      <w:r w:rsidRPr="0064356C">
        <w:t xml:space="preserve"> </w:t>
      </w:r>
    </w:p>
  </w:endnote>
  <w:endnote w:id="13">
    <w:p w14:paraId="4FA3A007" w14:textId="77777777" w:rsidR="0064356C" w:rsidRPr="0064356C" w:rsidRDefault="0064356C" w:rsidP="00126E1E">
      <w:pPr>
        <w:pStyle w:val="EndnoteText"/>
      </w:pPr>
      <w:r w:rsidRPr="0064356C">
        <w:rPr>
          <w:rStyle w:val="EndnoteReference"/>
        </w:rPr>
        <w:endnoteRef/>
      </w:r>
      <w:r w:rsidRPr="0064356C">
        <w:t xml:space="preserve"> At </w:t>
      </w:r>
      <w:hyperlink r:id="rId11" w:history="1">
        <w:r w:rsidRPr="0064356C">
          <w:rPr>
            <w:rStyle w:val="Hyperlink"/>
          </w:rPr>
          <w:t>https://www.legislation.gov.uk/ssi/2004/520/contents/made</w:t>
        </w:r>
      </w:hyperlink>
    </w:p>
  </w:endnote>
  <w:endnote w:id="14">
    <w:p w14:paraId="54A8D42B" w14:textId="77777777" w:rsidR="0064356C" w:rsidRPr="0064356C" w:rsidRDefault="0064356C" w:rsidP="00126E1E">
      <w:pPr>
        <w:pStyle w:val="EndnoteText"/>
      </w:pPr>
      <w:r w:rsidRPr="0064356C">
        <w:rPr>
          <w:rStyle w:val="EndnoteReference"/>
        </w:rPr>
        <w:endnoteRef/>
      </w:r>
      <w:r w:rsidRPr="0064356C">
        <w:t xml:space="preserve"> </w:t>
      </w:r>
      <w:hyperlink r:id="rId12" w:history="1">
        <w:r w:rsidRPr="0064356C">
          <w:rPr>
            <w:rStyle w:val="Hyperlink"/>
            <w:lang w:val="en-US"/>
          </w:rPr>
          <w:t>Council of Europe Convention on Access to Official Documents</w:t>
        </w:r>
      </w:hyperlink>
    </w:p>
  </w:endnote>
  <w:endnote w:id="15">
    <w:p w14:paraId="6BE04AAA" w14:textId="77777777" w:rsidR="0064356C" w:rsidRPr="0064356C" w:rsidRDefault="0064356C" w:rsidP="00126E1E">
      <w:pPr>
        <w:pStyle w:val="EndnoteText"/>
        <w:rPr>
          <w:b/>
          <w:bCs/>
        </w:rPr>
      </w:pPr>
      <w:r w:rsidRPr="0064356C">
        <w:rPr>
          <w:rStyle w:val="EndnoteReference"/>
        </w:rPr>
        <w:endnoteRef/>
      </w:r>
      <w:r w:rsidRPr="0064356C">
        <w:t xml:space="preserve"> Text and Explanatory Notes at </w:t>
      </w:r>
      <w:hyperlink r:id="rId13" w:history="1">
        <w:r w:rsidRPr="0064356C">
          <w:rPr>
            <w:rStyle w:val="Hyperlink"/>
          </w:rPr>
          <w:t>16809f5c1a (coe.int)</w:t>
        </w:r>
      </w:hyperlink>
      <w:r w:rsidRPr="0064356C">
        <w:t xml:space="preserve"> </w:t>
      </w:r>
    </w:p>
  </w:endnote>
  <w:endnote w:id="16">
    <w:p w14:paraId="57F49129" w14:textId="77777777" w:rsidR="005B5B97" w:rsidRPr="0064356C" w:rsidRDefault="005B5B97" w:rsidP="005120EA">
      <w:pPr>
        <w:pStyle w:val="EndnoteText"/>
      </w:pPr>
      <w:r w:rsidRPr="0064356C">
        <w:rPr>
          <w:rStyle w:val="EndnoteReference"/>
        </w:rPr>
        <w:endnoteRef/>
      </w:r>
      <w:r w:rsidRPr="0064356C">
        <w:t xml:space="preserve"> </w:t>
      </w:r>
      <w:hyperlink r:id="rId14" w:history="1">
        <w:r w:rsidRPr="0064356C">
          <w:rPr>
            <w:rStyle w:val="Hyperlink"/>
          </w:rPr>
          <w:t>Guide to information published by the Scottish Government - gov.scot (www.gov.scot)</w:t>
        </w:r>
      </w:hyperlink>
    </w:p>
  </w:endnote>
  <w:endnote w:id="17">
    <w:p w14:paraId="7A835D2A" w14:textId="6B8D9FC8" w:rsidR="0065291A" w:rsidRDefault="0065291A">
      <w:pPr>
        <w:pStyle w:val="EndnoteText"/>
      </w:pPr>
      <w:r>
        <w:rPr>
          <w:rStyle w:val="EndnoteReference"/>
        </w:rPr>
        <w:endnoteRef/>
      </w:r>
      <w:r>
        <w:t xml:space="preserve"> </w:t>
      </w:r>
      <w:hyperlink r:id="rId15" w:history="1">
        <w:r>
          <w:rPr>
            <w:rStyle w:val="Hyperlink"/>
          </w:rPr>
          <w:t>Strategic Lawsuits Against Public Participation (SLAPPs) - GOV.UK (www.gov.uk)</w:t>
        </w:r>
      </w:hyperlink>
    </w:p>
  </w:endnote>
  <w:endnote w:id="18">
    <w:p w14:paraId="1D5AFC5F" w14:textId="1FD2617D" w:rsidR="00102959" w:rsidRDefault="00102959">
      <w:pPr>
        <w:pStyle w:val="EndnoteText"/>
      </w:pPr>
      <w:r>
        <w:rPr>
          <w:rStyle w:val="EndnoteReference"/>
        </w:rPr>
        <w:endnoteRef/>
      </w:r>
      <w:r>
        <w:t xml:space="preserve"> </w:t>
      </w:r>
      <w:hyperlink r:id="rId16" w:history="1">
        <w:r>
          <w:rPr>
            <w:rStyle w:val="Hyperlink"/>
          </w:rPr>
          <w:t>Scottish Commission for Human Rights Act 2006 (legislation.gov.uk)</w:t>
        </w:r>
      </w:hyperlink>
    </w:p>
  </w:endnote>
  <w:endnote w:id="19">
    <w:p w14:paraId="4BF322F0" w14:textId="3CB046F8" w:rsidR="0064356C" w:rsidRPr="0064356C" w:rsidRDefault="0064356C" w:rsidP="0064356C">
      <w:pPr>
        <w:rPr>
          <w:sz w:val="20"/>
          <w:szCs w:val="20"/>
        </w:rPr>
      </w:pPr>
      <w:r w:rsidRPr="0064356C">
        <w:rPr>
          <w:rStyle w:val="EndnoteReference"/>
          <w:sz w:val="20"/>
          <w:szCs w:val="20"/>
        </w:rPr>
        <w:endnoteRef/>
      </w:r>
      <w:r w:rsidRPr="0064356C">
        <w:rPr>
          <w:sz w:val="20"/>
          <w:szCs w:val="20"/>
        </w:rPr>
        <w:t xml:space="preserve"> </w:t>
      </w:r>
      <w:hyperlink r:id="rId17" w:history="1">
        <w:r w:rsidRPr="0064356C">
          <w:rPr>
            <w:rStyle w:val="Hyperlink"/>
            <w:sz w:val="20"/>
            <w:szCs w:val="20"/>
          </w:rPr>
          <w:t>Getting Rights Right: Human Rights and the Scottish Parliament (azureedge.net)</w:t>
        </w:r>
      </w:hyperlink>
      <w:r>
        <w:rPr>
          <w:rStyle w:val="Hyperlink"/>
          <w:sz w:val="20"/>
          <w:szCs w:val="20"/>
        </w:rPr>
        <w:t xml:space="preserve"> </w:t>
      </w:r>
    </w:p>
  </w:endnote>
  <w:endnote w:id="20">
    <w:p w14:paraId="5239B2E4" w14:textId="77777777" w:rsidR="00A6039D" w:rsidRDefault="00A6039D" w:rsidP="00BB0A59">
      <w:pPr>
        <w:pStyle w:val="footnotedescription"/>
      </w:pPr>
      <w:r>
        <w:rPr>
          <w:rStyle w:val="footnotemark"/>
        </w:rPr>
        <w:endnoteRef/>
      </w:r>
      <w:r>
        <w:t xml:space="preserve"> </w:t>
      </w:r>
      <w:r>
        <w:rPr>
          <w:color w:val="000000"/>
          <w:u w:val="none" w:color="000000"/>
        </w:rPr>
        <w:t xml:space="preserve">The Act is available at </w:t>
      </w:r>
      <w:hyperlink r:id="rId18">
        <w:r>
          <w:t>http://www.legislation.gov.uk/asp/2002/13/contents</w:t>
        </w:r>
      </w:hyperlink>
      <w:hyperlink r:id="rId19">
        <w:r>
          <w:rPr>
            <w:color w:val="000000"/>
            <w:u w:val="none" w:color="000000"/>
          </w:rPr>
          <w:t xml:space="preserve"> </w:t>
        </w:r>
      </w:hyperlink>
      <w:r>
        <w:rPr>
          <w:color w:val="000000"/>
          <w:u w:val="none" w:color="000000"/>
        </w:rPr>
        <w:t xml:space="preserve"> </w:t>
      </w:r>
    </w:p>
  </w:endnote>
  <w:endnote w:id="21">
    <w:p w14:paraId="7BC21016" w14:textId="77777777" w:rsidR="002D22A8" w:rsidRDefault="002D22A8" w:rsidP="002D22A8">
      <w:pPr>
        <w:pStyle w:val="EndnoteText"/>
      </w:pPr>
      <w:r>
        <w:rPr>
          <w:rStyle w:val="EndnoteReference"/>
        </w:rPr>
        <w:endnoteRef/>
      </w:r>
      <w:r>
        <w:t xml:space="preserve"> At </w:t>
      </w:r>
      <w:hyperlink r:id="rId20" w:history="1">
        <w:r>
          <w:rPr>
            <w:rStyle w:val="Hyperlink"/>
          </w:rPr>
          <w:t>Post-legislative Scrutiny : Freedom of Information (Scotland) Act 2002 - Parliamentary Business :  Scottish Parliament</w:t>
        </w:r>
      </w:hyperlink>
      <w:r>
        <w:t xml:space="preserve">  and at Para 5 at </w:t>
      </w:r>
      <w:hyperlink r:id="rId21" w:history="1">
        <w:r>
          <w:rPr>
            <w:rStyle w:val="Hyperlink"/>
          </w:rPr>
          <w:t>PAPLS052020R2.pdf</w:t>
        </w:r>
      </w:hyperlink>
    </w:p>
  </w:endnote>
  <w:endnote w:id="22">
    <w:p w14:paraId="39064237" w14:textId="7AB7CBAE" w:rsidR="00A6039D" w:rsidRDefault="00A6039D">
      <w:pPr>
        <w:pStyle w:val="EndnoteText"/>
      </w:pPr>
      <w:r>
        <w:rPr>
          <w:rStyle w:val="EndnoteReference"/>
        </w:rPr>
        <w:endnoteRef/>
      </w:r>
      <w:r>
        <w:t xml:space="preserve"> On </w:t>
      </w:r>
      <w:r w:rsidR="0076056B">
        <w:t>CFoIS</w:t>
      </w:r>
      <w:r>
        <w:t xml:space="preserve"> website at </w:t>
      </w:r>
      <w:hyperlink r:id="rId22" w:history="1">
        <w:r>
          <w:rPr>
            <w:rStyle w:val="Hyperlink"/>
          </w:rPr>
          <w:t>Bill/Publications – CFoIS</w:t>
        </w:r>
      </w:hyperlink>
    </w:p>
  </w:endnote>
  <w:endnote w:id="23">
    <w:p w14:paraId="2B314ABD" w14:textId="39325200" w:rsidR="009523B9" w:rsidRDefault="009523B9" w:rsidP="009523B9">
      <w:pPr>
        <w:pStyle w:val="EndnoteText"/>
      </w:pPr>
      <w:r>
        <w:rPr>
          <w:rStyle w:val="EndnoteReference"/>
        </w:rPr>
        <w:endnoteRef/>
      </w:r>
      <w:r>
        <w:t xml:space="preserve"> </w:t>
      </w:r>
      <w:hyperlink r:id="rId23" w:history="1">
        <w:r w:rsidRPr="009523B9">
          <w:rPr>
            <w:rStyle w:val="Hyperlink"/>
            <w:lang w:val="en-US"/>
          </w:rPr>
          <w:t>https://theferret.scot/freedom-of-information-scottish-government-stalling/</w:t>
        </w:r>
      </w:hyperlink>
    </w:p>
  </w:endnote>
  <w:endnote w:id="24">
    <w:p w14:paraId="4AE1BDA9" w14:textId="77777777" w:rsidR="00A6039D" w:rsidRDefault="00A6039D" w:rsidP="00BB0A59">
      <w:pPr>
        <w:pStyle w:val="EndnoteText"/>
      </w:pPr>
      <w:r>
        <w:rPr>
          <w:rStyle w:val="EndnoteReference"/>
        </w:rPr>
        <w:endnoteRef/>
      </w:r>
      <w:r>
        <w:t xml:space="preserve"> Ibid </w:t>
      </w:r>
    </w:p>
  </w:endnote>
  <w:endnote w:id="25">
    <w:p w14:paraId="4B4C2B6B" w14:textId="77777777" w:rsidR="00181F53" w:rsidRPr="0064356C" w:rsidRDefault="00181F53" w:rsidP="00181F53">
      <w:pPr>
        <w:pStyle w:val="EndnoteText"/>
      </w:pPr>
      <w:r w:rsidRPr="0064356C">
        <w:rPr>
          <w:rStyle w:val="EndnoteReference"/>
        </w:rPr>
        <w:endnoteRef/>
      </w:r>
      <w:r w:rsidRPr="0064356C">
        <w:t xml:space="preserve"> At </w:t>
      </w:r>
      <w:hyperlink r:id="rId24" w:history="1">
        <w:r w:rsidRPr="0064356C">
          <w:rPr>
            <w:rStyle w:val="Hyperlink"/>
          </w:rPr>
          <w:t>UK National Action Plan on implementing the UN Guiding Principles on Business and Human Rights: progress update, May 2020 - GOV.UK (www.gov.uk)</w:t>
        </w:r>
      </w:hyperlink>
    </w:p>
  </w:endnote>
  <w:endnote w:id="26">
    <w:p w14:paraId="442A87A1" w14:textId="77777777" w:rsidR="00181F53" w:rsidRPr="0064356C" w:rsidRDefault="00181F53" w:rsidP="00181F53">
      <w:pPr>
        <w:pStyle w:val="EndnoteText"/>
      </w:pPr>
      <w:r w:rsidRPr="0064356C">
        <w:rPr>
          <w:rStyle w:val="EndnoteReference"/>
        </w:rPr>
        <w:endnoteRef/>
      </w:r>
      <w:r w:rsidRPr="0064356C">
        <w:t xml:space="preserve"> Advertised in May 2015 at </w:t>
      </w:r>
      <w:hyperlink r:id="rId25" w:history="1">
        <w:r w:rsidRPr="0064356C">
          <w:rPr>
            <w:rStyle w:val="Hyperlink"/>
          </w:rPr>
          <w:t>National Baseline Assessment on Business and Human Rights (government-online.net)</w:t>
        </w:r>
      </w:hyperlink>
      <w:r w:rsidRPr="0064356C">
        <w:t xml:space="preserve"> and progress at </w:t>
      </w:r>
      <w:hyperlink r:id="rId26" w:history="1">
        <w:r w:rsidRPr="0064356C">
          <w:rPr>
            <w:rStyle w:val="Hyperlink"/>
          </w:rPr>
          <w:t>Business and Human Rights – Scotland's National Action Plan for Human Rights (snaprights.info)</w:t>
        </w:r>
      </w:hyperlink>
    </w:p>
  </w:endnote>
  <w:endnote w:id="27">
    <w:p w14:paraId="2EA20A93" w14:textId="77777777" w:rsidR="00181F53" w:rsidRDefault="00181F53" w:rsidP="00181F53">
      <w:pPr>
        <w:pStyle w:val="EndnoteText"/>
      </w:pPr>
      <w:r>
        <w:rPr>
          <w:rStyle w:val="EndnoteReference"/>
        </w:rPr>
        <w:endnoteRef/>
      </w:r>
      <w:r>
        <w:t xml:space="preserve"> </w:t>
      </w:r>
      <w:hyperlink r:id="rId27" w:history="1">
        <w:r>
          <w:rPr>
            <w:rStyle w:val="Hyperlink"/>
          </w:rPr>
          <w:t>Business and Human Rights – Scotland's National Action Plan for Human Rights (snaprights.info)</w:t>
        </w:r>
      </w:hyperlink>
      <w:r>
        <w:t xml:space="preserve"> and </w:t>
      </w:r>
      <w:hyperlink r:id="rId28" w:history="1">
        <w:r>
          <w:rPr>
            <w:rStyle w:val="Hyperlink"/>
          </w:rPr>
          <w:t>Human rights and business - Human rights - gov.scot (www.gov.scot)</w:t>
        </w:r>
      </w:hyperlink>
    </w:p>
  </w:endnote>
  <w:endnote w:id="28">
    <w:p w14:paraId="197C7023" w14:textId="77777777" w:rsidR="00181F53" w:rsidRPr="0064356C" w:rsidRDefault="00181F53" w:rsidP="00181F53">
      <w:pPr>
        <w:pStyle w:val="EndnoteText"/>
      </w:pPr>
      <w:r w:rsidRPr="0064356C">
        <w:rPr>
          <w:rStyle w:val="EndnoteReference"/>
        </w:rPr>
        <w:endnoteRef/>
      </w:r>
      <w:r w:rsidRPr="0064356C">
        <w:t xml:space="preserve"> At </w:t>
      </w:r>
      <w:hyperlink r:id="rId29" w:history="1">
        <w:r w:rsidRPr="0064356C">
          <w:rPr>
            <w:rStyle w:val="Hyperlink"/>
          </w:rPr>
          <w:t>GuidingPrinciplesBusinessHR_EN.pdf (ohchr.org)</w:t>
        </w:r>
      </w:hyperlink>
    </w:p>
  </w:endnote>
  <w:endnote w:id="29">
    <w:p w14:paraId="251B9969" w14:textId="6E443F96" w:rsidR="005120EA" w:rsidRPr="0064356C" w:rsidRDefault="005120EA" w:rsidP="0064356C">
      <w:pPr>
        <w:rPr>
          <w:sz w:val="20"/>
          <w:szCs w:val="20"/>
        </w:rPr>
      </w:pPr>
      <w:r w:rsidRPr="0064356C">
        <w:rPr>
          <w:rStyle w:val="EndnoteReference"/>
          <w:sz w:val="20"/>
          <w:szCs w:val="20"/>
        </w:rPr>
        <w:endnoteRef/>
      </w:r>
      <w:r w:rsidRPr="0064356C">
        <w:rPr>
          <w:sz w:val="20"/>
          <w:szCs w:val="20"/>
        </w:rPr>
        <w:t xml:space="preserve"> </w:t>
      </w:r>
      <w:hyperlink r:id="rId30" w:history="1">
        <w:r w:rsidRPr="0064356C">
          <w:rPr>
            <w:rStyle w:val="Hyperlink"/>
            <w:sz w:val="20"/>
            <w:szCs w:val="20"/>
          </w:rPr>
          <w:t>Contracts during 2016-2021 parliamentary sessions: FOI release - gov.scot (www.gov.scot)</w:t>
        </w:r>
      </w:hyperlink>
      <w:r w:rsidR="0064356C">
        <w:rPr>
          <w:rStyle w:val="Hyperlink"/>
          <w:sz w:val="20"/>
          <w:szCs w:val="20"/>
        </w:rPr>
        <w:t xml:space="preserve"> </w:t>
      </w:r>
    </w:p>
  </w:endnote>
  <w:endnote w:id="30">
    <w:p w14:paraId="49BAD4A9" w14:textId="7CB47E1F" w:rsidR="005120EA" w:rsidRPr="0064356C" w:rsidRDefault="005120EA">
      <w:pPr>
        <w:pStyle w:val="EndnoteText"/>
      </w:pPr>
      <w:r w:rsidRPr="0064356C">
        <w:rPr>
          <w:rStyle w:val="EndnoteReference"/>
        </w:rPr>
        <w:endnoteRef/>
      </w:r>
      <w:r w:rsidRPr="0064356C">
        <w:t xml:space="preserve"> Briefing provides more detail at </w:t>
      </w:r>
      <w:hyperlink r:id="rId31" w:history="1">
        <w:r w:rsidRPr="0064356C">
          <w:rPr>
            <w:rStyle w:val="Hyperlink"/>
          </w:rPr>
          <w:t>Briefing-on-Public-Company-Case-Final.pdf (cfois.scot)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4433"/>
      <w:docPartObj>
        <w:docPartGallery w:val="Page Numbers (Bottom of Page)"/>
        <w:docPartUnique/>
      </w:docPartObj>
    </w:sdtPr>
    <w:sdtEndPr>
      <w:rPr>
        <w:noProof/>
      </w:rPr>
    </w:sdtEndPr>
    <w:sdtContent>
      <w:p w14:paraId="1D538C1F" w14:textId="30019FBA" w:rsidR="003816A6" w:rsidRDefault="003816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9CF31" w14:textId="77777777" w:rsidR="008673AE" w:rsidRDefault="0086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588F" w14:textId="77777777" w:rsidR="00FC4AFC" w:rsidRDefault="00FC4AFC" w:rsidP="00F66650">
      <w:r>
        <w:separator/>
      </w:r>
    </w:p>
  </w:footnote>
  <w:footnote w:type="continuationSeparator" w:id="0">
    <w:p w14:paraId="5D060DE6" w14:textId="77777777" w:rsidR="00FC4AFC" w:rsidRDefault="00FC4AFC" w:rsidP="00F6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9FA1" w14:textId="30D400A4" w:rsidR="00FA0BE3" w:rsidRPr="00FA0BE3" w:rsidRDefault="005C208B">
    <w:pPr>
      <w:pStyle w:val="Header"/>
      <w:rPr>
        <w:b/>
        <w:bCs/>
      </w:rPr>
    </w:pPr>
    <w:r>
      <w:rPr>
        <w:b/>
        <w:bCs/>
      </w:rPr>
      <w:t xml:space="preserve">CFoIS </w:t>
    </w:r>
    <w:r w:rsidR="00DC5D39">
      <w:rPr>
        <w:b/>
        <w:bCs/>
      </w:rPr>
      <w:t>UPR Submission</w:t>
    </w:r>
    <w:r w:rsidR="00FA0BE3" w:rsidRPr="00FA0BE3">
      <w:rPr>
        <w:b/>
        <w:bCs/>
      </w:rPr>
      <w:ptab w:relativeTo="margin" w:alignment="right" w:leader="none"/>
    </w:r>
    <w:r w:rsidR="00FA0BE3" w:rsidRPr="00FA0BE3">
      <w:rPr>
        <w:b/>
        <w:bCs/>
      </w:rPr>
      <w:t>M</w:t>
    </w:r>
    <w:r w:rsidR="00DC5D39">
      <w:rPr>
        <w:b/>
        <w:bCs/>
      </w:rPr>
      <w:t>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AE"/>
    <w:multiLevelType w:val="hybridMultilevel"/>
    <w:tmpl w:val="BD14530E"/>
    <w:lvl w:ilvl="0" w:tplc="C7105FEC">
      <w:start w:val="1"/>
      <w:numFmt w:val="bullet"/>
      <w:lvlText w:val="•"/>
      <w:lvlJc w:val="left"/>
      <w:pPr>
        <w:tabs>
          <w:tab w:val="num" w:pos="2880"/>
        </w:tabs>
        <w:ind w:left="2880" w:hanging="360"/>
      </w:pPr>
      <w:rPr>
        <w:rFonts w:ascii="Arial" w:hAnsi="Arial" w:hint="default"/>
      </w:rPr>
    </w:lvl>
    <w:lvl w:ilvl="1" w:tplc="77AA10B2" w:tentative="1">
      <w:start w:val="1"/>
      <w:numFmt w:val="bullet"/>
      <w:lvlText w:val="•"/>
      <w:lvlJc w:val="left"/>
      <w:pPr>
        <w:tabs>
          <w:tab w:val="num" w:pos="3600"/>
        </w:tabs>
        <w:ind w:left="3600" w:hanging="360"/>
      </w:pPr>
      <w:rPr>
        <w:rFonts w:ascii="Arial" w:hAnsi="Arial" w:hint="default"/>
      </w:rPr>
    </w:lvl>
    <w:lvl w:ilvl="2" w:tplc="D180D22E" w:tentative="1">
      <w:start w:val="1"/>
      <w:numFmt w:val="bullet"/>
      <w:lvlText w:val="•"/>
      <w:lvlJc w:val="left"/>
      <w:pPr>
        <w:tabs>
          <w:tab w:val="num" w:pos="4320"/>
        </w:tabs>
        <w:ind w:left="4320" w:hanging="360"/>
      </w:pPr>
      <w:rPr>
        <w:rFonts w:ascii="Arial" w:hAnsi="Arial" w:hint="default"/>
      </w:rPr>
    </w:lvl>
    <w:lvl w:ilvl="3" w:tplc="B3D0AE12" w:tentative="1">
      <w:start w:val="1"/>
      <w:numFmt w:val="bullet"/>
      <w:lvlText w:val="•"/>
      <w:lvlJc w:val="left"/>
      <w:pPr>
        <w:tabs>
          <w:tab w:val="num" w:pos="5040"/>
        </w:tabs>
        <w:ind w:left="5040" w:hanging="360"/>
      </w:pPr>
      <w:rPr>
        <w:rFonts w:ascii="Arial" w:hAnsi="Arial" w:hint="default"/>
      </w:rPr>
    </w:lvl>
    <w:lvl w:ilvl="4" w:tplc="64987B44" w:tentative="1">
      <w:start w:val="1"/>
      <w:numFmt w:val="bullet"/>
      <w:lvlText w:val="•"/>
      <w:lvlJc w:val="left"/>
      <w:pPr>
        <w:tabs>
          <w:tab w:val="num" w:pos="5760"/>
        </w:tabs>
        <w:ind w:left="5760" w:hanging="360"/>
      </w:pPr>
      <w:rPr>
        <w:rFonts w:ascii="Arial" w:hAnsi="Arial" w:hint="default"/>
      </w:rPr>
    </w:lvl>
    <w:lvl w:ilvl="5" w:tplc="61267562" w:tentative="1">
      <w:start w:val="1"/>
      <w:numFmt w:val="bullet"/>
      <w:lvlText w:val="•"/>
      <w:lvlJc w:val="left"/>
      <w:pPr>
        <w:tabs>
          <w:tab w:val="num" w:pos="6480"/>
        </w:tabs>
        <w:ind w:left="6480" w:hanging="360"/>
      </w:pPr>
      <w:rPr>
        <w:rFonts w:ascii="Arial" w:hAnsi="Arial" w:hint="default"/>
      </w:rPr>
    </w:lvl>
    <w:lvl w:ilvl="6" w:tplc="ADF068AE" w:tentative="1">
      <w:start w:val="1"/>
      <w:numFmt w:val="bullet"/>
      <w:lvlText w:val="•"/>
      <w:lvlJc w:val="left"/>
      <w:pPr>
        <w:tabs>
          <w:tab w:val="num" w:pos="7200"/>
        </w:tabs>
        <w:ind w:left="7200" w:hanging="360"/>
      </w:pPr>
      <w:rPr>
        <w:rFonts w:ascii="Arial" w:hAnsi="Arial" w:hint="default"/>
      </w:rPr>
    </w:lvl>
    <w:lvl w:ilvl="7" w:tplc="69789F2A" w:tentative="1">
      <w:start w:val="1"/>
      <w:numFmt w:val="bullet"/>
      <w:lvlText w:val="•"/>
      <w:lvlJc w:val="left"/>
      <w:pPr>
        <w:tabs>
          <w:tab w:val="num" w:pos="7920"/>
        </w:tabs>
        <w:ind w:left="7920" w:hanging="360"/>
      </w:pPr>
      <w:rPr>
        <w:rFonts w:ascii="Arial" w:hAnsi="Arial" w:hint="default"/>
      </w:rPr>
    </w:lvl>
    <w:lvl w:ilvl="8" w:tplc="8F449AA4" w:tentative="1">
      <w:start w:val="1"/>
      <w:numFmt w:val="bullet"/>
      <w:lvlText w:val="•"/>
      <w:lvlJc w:val="left"/>
      <w:pPr>
        <w:tabs>
          <w:tab w:val="num" w:pos="8640"/>
        </w:tabs>
        <w:ind w:left="8640" w:hanging="360"/>
      </w:pPr>
      <w:rPr>
        <w:rFonts w:ascii="Arial" w:hAnsi="Arial" w:hint="default"/>
      </w:rPr>
    </w:lvl>
  </w:abstractNum>
  <w:abstractNum w:abstractNumId="1" w15:restartNumberingAfterBreak="0">
    <w:nsid w:val="01986228"/>
    <w:multiLevelType w:val="hybridMultilevel"/>
    <w:tmpl w:val="CE96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2078F"/>
    <w:multiLevelType w:val="multilevel"/>
    <w:tmpl w:val="2E6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3BD7"/>
    <w:multiLevelType w:val="hybridMultilevel"/>
    <w:tmpl w:val="C58E5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D27E4"/>
    <w:multiLevelType w:val="hybridMultilevel"/>
    <w:tmpl w:val="0C42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F54D8"/>
    <w:multiLevelType w:val="hybridMultilevel"/>
    <w:tmpl w:val="4B80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E30C1"/>
    <w:multiLevelType w:val="hybridMultilevel"/>
    <w:tmpl w:val="3BB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B4D15"/>
    <w:multiLevelType w:val="hybridMultilevel"/>
    <w:tmpl w:val="CF76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169F"/>
    <w:multiLevelType w:val="hybridMultilevel"/>
    <w:tmpl w:val="91B2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576C3"/>
    <w:multiLevelType w:val="hybridMultilevel"/>
    <w:tmpl w:val="E6C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54523"/>
    <w:multiLevelType w:val="hybridMultilevel"/>
    <w:tmpl w:val="1B1E9EAE"/>
    <w:lvl w:ilvl="0" w:tplc="F7FC1104">
      <w:start w:val="1"/>
      <w:numFmt w:val="bullet"/>
      <w:lvlText w:val="•"/>
      <w:lvlJc w:val="left"/>
      <w:pPr>
        <w:tabs>
          <w:tab w:val="num" w:pos="720"/>
        </w:tabs>
        <w:ind w:left="720" w:hanging="360"/>
      </w:pPr>
      <w:rPr>
        <w:rFonts w:ascii="Arial" w:hAnsi="Arial" w:hint="default"/>
      </w:rPr>
    </w:lvl>
    <w:lvl w:ilvl="1" w:tplc="1F322876" w:tentative="1">
      <w:start w:val="1"/>
      <w:numFmt w:val="bullet"/>
      <w:lvlText w:val="•"/>
      <w:lvlJc w:val="left"/>
      <w:pPr>
        <w:tabs>
          <w:tab w:val="num" w:pos="1440"/>
        </w:tabs>
        <w:ind w:left="1440" w:hanging="360"/>
      </w:pPr>
      <w:rPr>
        <w:rFonts w:ascii="Arial" w:hAnsi="Arial" w:hint="default"/>
      </w:rPr>
    </w:lvl>
    <w:lvl w:ilvl="2" w:tplc="7BC495CE" w:tentative="1">
      <w:start w:val="1"/>
      <w:numFmt w:val="bullet"/>
      <w:lvlText w:val="•"/>
      <w:lvlJc w:val="left"/>
      <w:pPr>
        <w:tabs>
          <w:tab w:val="num" w:pos="2160"/>
        </w:tabs>
        <w:ind w:left="2160" w:hanging="360"/>
      </w:pPr>
      <w:rPr>
        <w:rFonts w:ascii="Arial" w:hAnsi="Arial" w:hint="default"/>
      </w:rPr>
    </w:lvl>
    <w:lvl w:ilvl="3" w:tplc="9564A0B6" w:tentative="1">
      <w:start w:val="1"/>
      <w:numFmt w:val="bullet"/>
      <w:lvlText w:val="•"/>
      <w:lvlJc w:val="left"/>
      <w:pPr>
        <w:tabs>
          <w:tab w:val="num" w:pos="2880"/>
        </w:tabs>
        <w:ind w:left="2880" w:hanging="360"/>
      </w:pPr>
      <w:rPr>
        <w:rFonts w:ascii="Arial" w:hAnsi="Arial" w:hint="default"/>
      </w:rPr>
    </w:lvl>
    <w:lvl w:ilvl="4" w:tplc="E24C1C7A" w:tentative="1">
      <w:start w:val="1"/>
      <w:numFmt w:val="bullet"/>
      <w:lvlText w:val="•"/>
      <w:lvlJc w:val="left"/>
      <w:pPr>
        <w:tabs>
          <w:tab w:val="num" w:pos="3600"/>
        </w:tabs>
        <w:ind w:left="3600" w:hanging="360"/>
      </w:pPr>
      <w:rPr>
        <w:rFonts w:ascii="Arial" w:hAnsi="Arial" w:hint="default"/>
      </w:rPr>
    </w:lvl>
    <w:lvl w:ilvl="5" w:tplc="FD1E26A0" w:tentative="1">
      <w:start w:val="1"/>
      <w:numFmt w:val="bullet"/>
      <w:lvlText w:val="•"/>
      <w:lvlJc w:val="left"/>
      <w:pPr>
        <w:tabs>
          <w:tab w:val="num" w:pos="4320"/>
        </w:tabs>
        <w:ind w:left="4320" w:hanging="360"/>
      </w:pPr>
      <w:rPr>
        <w:rFonts w:ascii="Arial" w:hAnsi="Arial" w:hint="default"/>
      </w:rPr>
    </w:lvl>
    <w:lvl w:ilvl="6" w:tplc="1B4CAC16" w:tentative="1">
      <w:start w:val="1"/>
      <w:numFmt w:val="bullet"/>
      <w:lvlText w:val="•"/>
      <w:lvlJc w:val="left"/>
      <w:pPr>
        <w:tabs>
          <w:tab w:val="num" w:pos="5040"/>
        </w:tabs>
        <w:ind w:left="5040" w:hanging="360"/>
      </w:pPr>
      <w:rPr>
        <w:rFonts w:ascii="Arial" w:hAnsi="Arial" w:hint="default"/>
      </w:rPr>
    </w:lvl>
    <w:lvl w:ilvl="7" w:tplc="7E18FE48" w:tentative="1">
      <w:start w:val="1"/>
      <w:numFmt w:val="bullet"/>
      <w:lvlText w:val="•"/>
      <w:lvlJc w:val="left"/>
      <w:pPr>
        <w:tabs>
          <w:tab w:val="num" w:pos="5760"/>
        </w:tabs>
        <w:ind w:left="5760" w:hanging="360"/>
      </w:pPr>
      <w:rPr>
        <w:rFonts w:ascii="Arial" w:hAnsi="Arial" w:hint="default"/>
      </w:rPr>
    </w:lvl>
    <w:lvl w:ilvl="8" w:tplc="A8B015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AB5F06"/>
    <w:multiLevelType w:val="multilevel"/>
    <w:tmpl w:val="58868E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12A0E"/>
    <w:multiLevelType w:val="hybridMultilevel"/>
    <w:tmpl w:val="1A32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C7"/>
    <w:multiLevelType w:val="hybridMultilevel"/>
    <w:tmpl w:val="28C6A6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268D"/>
    <w:multiLevelType w:val="multilevel"/>
    <w:tmpl w:val="14125886"/>
    <w:name w:val="BurnessNumbering"/>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1419"/>
        </w:tabs>
        <w:ind w:left="141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030CA4"/>
    <w:multiLevelType w:val="hybridMultilevel"/>
    <w:tmpl w:val="5488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E4F2F"/>
    <w:multiLevelType w:val="hybridMultilevel"/>
    <w:tmpl w:val="031C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A34D25"/>
    <w:multiLevelType w:val="hybridMultilevel"/>
    <w:tmpl w:val="18AAA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60E9A"/>
    <w:multiLevelType w:val="hybridMultilevel"/>
    <w:tmpl w:val="91B20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C636EA"/>
    <w:multiLevelType w:val="hybridMultilevel"/>
    <w:tmpl w:val="F0349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B2F9B"/>
    <w:multiLevelType w:val="hybridMultilevel"/>
    <w:tmpl w:val="167CD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F7986"/>
    <w:multiLevelType w:val="hybridMultilevel"/>
    <w:tmpl w:val="9CAA9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D317A"/>
    <w:multiLevelType w:val="hybridMultilevel"/>
    <w:tmpl w:val="B42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A6CFB"/>
    <w:multiLevelType w:val="hybridMultilevel"/>
    <w:tmpl w:val="5006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1273D"/>
    <w:multiLevelType w:val="hybridMultilevel"/>
    <w:tmpl w:val="13E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C1AF0"/>
    <w:multiLevelType w:val="hybridMultilevel"/>
    <w:tmpl w:val="2E6AF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97E30"/>
    <w:multiLevelType w:val="hybridMultilevel"/>
    <w:tmpl w:val="7C2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705042">
    <w:abstractNumId w:val="2"/>
  </w:num>
  <w:num w:numId="2" w16cid:durableId="744425238">
    <w:abstractNumId w:val="19"/>
  </w:num>
  <w:num w:numId="3" w16cid:durableId="331951674">
    <w:abstractNumId w:val="3"/>
  </w:num>
  <w:num w:numId="4" w16cid:durableId="1513762736">
    <w:abstractNumId w:val="25"/>
  </w:num>
  <w:num w:numId="5" w16cid:durableId="381903726">
    <w:abstractNumId w:val="14"/>
  </w:num>
  <w:num w:numId="6" w16cid:durableId="158742417">
    <w:abstractNumId w:val="26"/>
  </w:num>
  <w:num w:numId="7" w16cid:durableId="413866629">
    <w:abstractNumId w:val="15"/>
  </w:num>
  <w:num w:numId="8" w16cid:durableId="1379356162">
    <w:abstractNumId w:val="21"/>
  </w:num>
  <w:num w:numId="9" w16cid:durableId="380176251">
    <w:abstractNumId w:val="4"/>
  </w:num>
  <w:num w:numId="10" w16cid:durableId="2024504857">
    <w:abstractNumId w:val="20"/>
  </w:num>
  <w:num w:numId="11" w16cid:durableId="800194622">
    <w:abstractNumId w:val="24"/>
  </w:num>
  <w:num w:numId="12" w16cid:durableId="2104522082">
    <w:abstractNumId w:val="6"/>
  </w:num>
  <w:num w:numId="13" w16cid:durableId="270091580">
    <w:abstractNumId w:val="13"/>
  </w:num>
  <w:num w:numId="14" w16cid:durableId="2113814530">
    <w:abstractNumId w:val="0"/>
  </w:num>
  <w:num w:numId="15" w16cid:durableId="641428406">
    <w:abstractNumId w:val="17"/>
  </w:num>
  <w:num w:numId="16" w16cid:durableId="1875803809">
    <w:abstractNumId w:val="16"/>
  </w:num>
  <w:num w:numId="17" w16cid:durableId="1644310276">
    <w:abstractNumId w:val="7"/>
  </w:num>
  <w:num w:numId="18" w16cid:durableId="1672678062">
    <w:abstractNumId w:val="5"/>
  </w:num>
  <w:num w:numId="19" w16cid:durableId="828836267">
    <w:abstractNumId w:val="10"/>
  </w:num>
  <w:num w:numId="20" w16cid:durableId="1366827436">
    <w:abstractNumId w:val="1"/>
  </w:num>
  <w:num w:numId="21" w16cid:durableId="969090834">
    <w:abstractNumId w:val="9"/>
  </w:num>
  <w:num w:numId="22" w16cid:durableId="852691555">
    <w:abstractNumId w:val="11"/>
  </w:num>
  <w:num w:numId="23" w16cid:durableId="51391484">
    <w:abstractNumId w:val="8"/>
  </w:num>
  <w:num w:numId="24" w16cid:durableId="826434075">
    <w:abstractNumId w:val="22"/>
  </w:num>
  <w:num w:numId="25" w16cid:durableId="1399788381">
    <w:abstractNumId w:val="12"/>
  </w:num>
  <w:num w:numId="26" w16cid:durableId="318339908">
    <w:abstractNumId w:val="23"/>
  </w:num>
  <w:num w:numId="27" w16cid:durableId="17419007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75"/>
    <w:rsid w:val="0001077B"/>
    <w:rsid w:val="00026461"/>
    <w:rsid w:val="000268D8"/>
    <w:rsid w:val="00031566"/>
    <w:rsid w:val="00035061"/>
    <w:rsid w:val="0004059E"/>
    <w:rsid w:val="00052670"/>
    <w:rsid w:val="00074E33"/>
    <w:rsid w:val="00092456"/>
    <w:rsid w:val="000A043B"/>
    <w:rsid w:val="000B42C1"/>
    <w:rsid w:val="000D719A"/>
    <w:rsid w:val="000E2EA6"/>
    <w:rsid w:val="000E4453"/>
    <w:rsid w:val="00102959"/>
    <w:rsid w:val="001108B4"/>
    <w:rsid w:val="00126E1E"/>
    <w:rsid w:val="00141564"/>
    <w:rsid w:val="00143FC6"/>
    <w:rsid w:val="00154C54"/>
    <w:rsid w:val="0016609D"/>
    <w:rsid w:val="0017451E"/>
    <w:rsid w:val="00181F53"/>
    <w:rsid w:val="001A1258"/>
    <w:rsid w:val="001A29A4"/>
    <w:rsid w:val="001C588E"/>
    <w:rsid w:val="001D603F"/>
    <w:rsid w:val="001F1260"/>
    <w:rsid w:val="001F6247"/>
    <w:rsid w:val="0021002C"/>
    <w:rsid w:val="0021121A"/>
    <w:rsid w:val="00223BB1"/>
    <w:rsid w:val="002316FF"/>
    <w:rsid w:val="0026276A"/>
    <w:rsid w:val="002A3672"/>
    <w:rsid w:val="002A5E31"/>
    <w:rsid w:val="002B0E90"/>
    <w:rsid w:val="002C370C"/>
    <w:rsid w:val="002D22A8"/>
    <w:rsid w:val="002D3A87"/>
    <w:rsid w:val="002E5EA4"/>
    <w:rsid w:val="002F38D0"/>
    <w:rsid w:val="0031404E"/>
    <w:rsid w:val="00314A9F"/>
    <w:rsid w:val="00314F96"/>
    <w:rsid w:val="00315C7D"/>
    <w:rsid w:val="0032209C"/>
    <w:rsid w:val="0033285C"/>
    <w:rsid w:val="0033399F"/>
    <w:rsid w:val="00355BA4"/>
    <w:rsid w:val="00366799"/>
    <w:rsid w:val="003816A6"/>
    <w:rsid w:val="003835C0"/>
    <w:rsid w:val="003B013D"/>
    <w:rsid w:val="003C1E85"/>
    <w:rsid w:val="003D0359"/>
    <w:rsid w:val="003F4984"/>
    <w:rsid w:val="003F605C"/>
    <w:rsid w:val="0040280B"/>
    <w:rsid w:val="004114D4"/>
    <w:rsid w:val="00416092"/>
    <w:rsid w:val="00422AC5"/>
    <w:rsid w:val="00433D86"/>
    <w:rsid w:val="00470B2B"/>
    <w:rsid w:val="004749F8"/>
    <w:rsid w:val="00474C16"/>
    <w:rsid w:val="004C7538"/>
    <w:rsid w:val="004F5433"/>
    <w:rsid w:val="00505CAA"/>
    <w:rsid w:val="00507640"/>
    <w:rsid w:val="005120EA"/>
    <w:rsid w:val="00514D40"/>
    <w:rsid w:val="005167E4"/>
    <w:rsid w:val="00517EEB"/>
    <w:rsid w:val="00523CB1"/>
    <w:rsid w:val="00541CD4"/>
    <w:rsid w:val="005529D8"/>
    <w:rsid w:val="00571A3F"/>
    <w:rsid w:val="00594592"/>
    <w:rsid w:val="00596383"/>
    <w:rsid w:val="005B42DF"/>
    <w:rsid w:val="005B5B97"/>
    <w:rsid w:val="005C208B"/>
    <w:rsid w:val="005C6F24"/>
    <w:rsid w:val="005D7702"/>
    <w:rsid w:val="005E2AFE"/>
    <w:rsid w:val="0060533E"/>
    <w:rsid w:val="00624A00"/>
    <w:rsid w:val="00627F6A"/>
    <w:rsid w:val="00630EFC"/>
    <w:rsid w:val="00633608"/>
    <w:rsid w:val="00634156"/>
    <w:rsid w:val="0064356C"/>
    <w:rsid w:val="00646FCC"/>
    <w:rsid w:val="00650DFC"/>
    <w:rsid w:val="0065291A"/>
    <w:rsid w:val="0065335A"/>
    <w:rsid w:val="00653BB8"/>
    <w:rsid w:val="006D51E1"/>
    <w:rsid w:val="006F6A75"/>
    <w:rsid w:val="007042A2"/>
    <w:rsid w:val="00710F96"/>
    <w:rsid w:val="007137AA"/>
    <w:rsid w:val="00757DA9"/>
    <w:rsid w:val="0076056B"/>
    <w:rsid w:val="00792523"/>
    <w:rsid w:val="007A5176"/>
    <w:rsid w:val="007A6833"/>
    <w:rsid w:val="007B1621"/>
    <w:rsid w:val="007D3648"/>
    <w:rsid w:val="007D44C6"/>
    <w:rsid w:val="007E5576"/>
    <w:rsid w:val="007F4A83"/>
    <w:rsid w:val="007F5576"/>
    <w:rsid w:val="0081375E"/>
    <w:rsid w:val="00822FE2"/>
    <w:rsid w:val="00825C6B"/>
    <w:rsid w:val="008432F9"/>
    <w:rsid w:val="0084512C"/>
    <w:rsid w:val="00847879"/>
    <w:rsid w:val="008673AE"/>
    <w:rsid w:val="008D1018"/>
    <w:rsid w:val="008F2B3A"/>
    <w:rsid w:val="008F4B90"/>
    <w:rsid w:val="009155E1"/>
    <w:rsid w:val="00920C14"/>
    <w:rsid w:val="00934E9C"/>
    <w:rsid w:val="00943D9D"/>
    <w:rsid w:val="009475C8"/>
    <w:rsid w:val="009523B9"/>
    <w:rsid w:val="00962E99"/>
    <w:rsid w:val="009640E3"/>
    <w:rsid w:val="00964E0D"/>
    <w:rsid w:val="00981D44"/>
    <w:rsid w:val="009A55AF"/>
    <w:rsid w:val="009C4AE8"/>
    <w:rsid w:val="009C677E"/>
    <w:rsid w:val="009E3A3F"/>
    <w:rsid w:val="009F3D0E"/>
    <w:rsid w:val="00A02E56"/>
    <w:rsid w:val="00A14EB9"/>
    <w:rsid w:val="00A25BCB"/>
    <w:rsid w:val="00A332D1"/>
    <w:rsid w:val="00A44E44"/>
    <w:rsid w:val="00A56D57"/>
    <w:rsid w:val="00A6039D"/>
    <w:rsid w:val="00A6423A"/>
    <w:rsid w:val="00A846FC"/>
    <w:rsid w:val="00AB521A"/>
    <w:rsid w:val="00AC683A"/>
    <w:rsid w:val="00AD18AA"/>
    <w:rsid w:val="00AD1DA3"/>
    <w:rsid w:val="00B025EC"/>
    <w:rsid w:val="00B20B07"/>
    <w:rsid w:val="00B3282E"/>
    <w:rsid w:val="00B44D29"/>
    <w:rsid w:val="00B62CB2"/>
    <w:rsid w:val="00B835A4"/>
    <w:rsid w:val="00B936BA"/>
    <w:rsid w:val="00BB06AE"/>
    <w:rsid w:val="00BB0A59"/>
    <w:rsid w:val="00BB41FF"/>
    <w:rsid w:val="00BC1791"/>
    <w:rsid w:val="00BE2779"/>
    <w:rsid w:val="00BE39B9"/>
    <w:rsid w:val="00BF6F3C"/>
    <w:rsid w:val="00C3378D"/>
    <w:rsid w:val="00C52AE2"/>
    <w:rsid w:val="00C60F03"/>
    <w:rsid w:val="00CF413A"/>
    <w:rsid w:val="00D1009E"/>
    <w:rsid w:val="00D14A2C"/>
    <w:rsid w:val="00D6407E"/>
    <w:rsid w:val="00D80B4F"/>
    <w:rsid w:val="00D822CD"/>
    <w:rsid w:val="00D84631"/>
    <w:rsid w:val="00D85CBF"/>
    <w:rsid w:val="00D86DCD"/>
    <w:rsid w:val="00D907FF"/>
    <w:rsid w:val="00D97DC1"/>
    <w:rsid w:val="00DC5D39"/>
    <w:rsid w:val="00DE2B85"/>
    <w:rsid w:val="00DF7F4F"/>
    <w:rsid w:val="00E02143"/>
    <w:rsid w:val="00E112EE"/>
    <w:rsid w:val="00E42156"/>
    <w:rsid w:val="00E4742F"/>
    <w:rsid w:val="00E517CA"/>
    <w:rsid w:val="00E87E00"/>
    <w:rsid w:val="00E902B8"/>
    <w:rsid w:val="00E9675A"/>
    <w:rsid w:val="00EB778A"/>
    <w:rsid w:val="00EE7ED7"/>
    <w:rsid w:val="00EF4CAB"/>
    <w:rsid w:val="00F0796E"/>
    <w:rsid w:val="00F11CFD"/>
    <w:rsid w:val="00F12453"/>
    <w:rsid w:val="00F66650"/>
    <w:rsid w:val="00F67BF4"/>
    <w:rsid w:val="00F94D56"/>
    <w:rsid w:val="00FA0BE3"/>
    <w:rsid w:val="00FC4AFC"/>
    <w:rsid w:val="00FD49D7"/>
    <w:rsid w:val="00FE0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C44D"/>
  <w15:docId w15:val="{7A733FD3-E01E-4B78-B0E8-DC2DA612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4A0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120">
    <w:name w:val="av120"/>
    <w:basedOn w:val="Normal"/>
    <w:rsid w:val="006F6A7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6F6A75"/>
    <w:rPr>
      <w:b/>
      <w:bCs/>
    </w:rPr>
  </w:style>
  <w:style w:type="paragraph" w:styleId="NormalWeb">
    <w:name w:val="Normal (Web)"/>
    <w:basedOn w:val="Normal"/>
    <w:uiPriority w:val="99"/>
    <w:semiHidden/>
    <w:unhideWhenUsed/>
    <w:rsid w:val="006F6A75"/>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uiPriority w:val="99"/>
    <w:unhideWhenUsed/>
    <w:rsid w:val="006F6A75"/>
    <w:rPr>
      <w:color w:val="0000FF"/>
      <w:u w:val="single"/>
    </w:rPr>
  </w:style>
  <w:style w:type="paragraph" w:styleId="ListParagraph">
    <w:name w:val="List Paragraph"/>
    <w:basedOn w:val="Normal"/>
    <w:uiPriority w:val="34"/>
    <w:qFormat/>
    <w:rsid w:val="00FD49D7"/>
    <w:pPr>
      <w:ind w:left="720"/>
      <w:contextualSpacing/>
    </w:pPr>
  </w:style>
  <w:style w:type="paragraph" w:styleId="Header">
    <w:name w:val="header"/>
    <w:basedOn w:val="Normal"/>
    <w:link w:val="HeaderChar"/>
    <w:uiPriority w:val="99"/>
    <w:unhideWhenUsed/>
    <w:rsid w:val="00F66650"/>
    <w:pPr>
      <w:tabs>
        <w:tab w:val="center" w:pos="4513"/>
        <w:tab w:val="right" w:pos="9026"/>
      </w:tabs>
    </w:pPr>
  </w:style>
  <w:style w:type="character" w:customStyle="1" w:styleId="HeaderChar">
    <w:name w:val="Header Char"/>
    <w:basedOn w:val="DefaultParagraphFont"/>
    <w:link w:val="Header"/>
    <w:uiPriority w:val="99"/>
    <w:rsid w:val="00F66650"/>
  </w:style>
  <w:style w:type="paragraph" w:styleId="Footer">
    <w:name w:val="footer"/>
    <w:basedOn w:val="Normal"/>
    <w:link w:val="FooterChar"/>
    <w:uiPriority w:val="99"/>
    <w:unhideWhenUsed/>
    <w:rsid w:val="00F66650"/>
    <w:pPr>
      <w:tabs>
        <w:tab w:val="center" w:pos="4513"/>
        <w:tab w:val="right" w:pos="9026"/>
      </w:tabs>
    </w:pPr>
  </w:style>
  <w:style w:type="character" w:customStyle="1" w:styleId="FooterChar">
    <w:name w:val="Footer Char"/>
    <w:basedOn w:val="DefaultParagraphFont"/>
    <w:link w:val="Footer"/>
    <w:uiPriority w:val="99"/>
    <w:rsid w:val="00F66650"/>
  </w:style>
  <w:style w:type="paragraph" w:customStyle="1" w:styleId="BurnessNumbering1">
    <w:name w:val="BurnessNumbering1"/>
    <w:basedOn w:val="Normal"/>
    <w:rsid w:val="00630EFC"/>
    <w:pPr>
      <w:numPr>
        <w:numId w:val="5"/>
      </w:numPr>
      <w:spacing w:after="240"/>
      <w:jc w:val="both"/>
    </w:pPr>
    <w:rPr>
      <w:rFonts w:ascii="Times New Roman" w:eastAsia="Times New Roman" w:hAnsi="Times New Roman" w:cs="Times New Roman"/>
      <w:szCs w:val="24"/>
    </w:rPr>
  </w:style>
  <w:style w:type="paragraph" w:customStyle="1" w:styleId="BurnessNumbering2">
    <w:name w:val="BurnessNumbering2"/>
    <w:basedOn w:val="BurnessNumbering1"/>
    <w:rsid w:val="00630EFC"/>
    <w:pPr>
      <w:numPr>
        <w:ilvl w:val="1"/>
      </w:numPr>
    </w:pPr>
  </w:style>
  <w:style w:type="paragraph" w:customStyle="1" w:styleId="BurnessNumbering3">
    <w:name w:val="BurnessNumbering3"/>
    <w:basedOn w:val="BurnessNumbering2"/>
    <w:rsid w:val="00630EFC"/>
    <w:pPr>
      <w:numPr>
        <w:ilvl w:val="2"/>
      </w:numPr>
    </w:pPr>
  </w:style>
  <w:style w:type="paragraph" w:customStyle="1" w:styleId="BurnessNumbering4">
    <w:name w:val="BurnessNumbering4"/>
    <w:basedOn w:val="Normal"/>
    <w:rsid w:val="00630EFC"/>
    <w:pPr>
      <w:numPr>
        <w:ilvl w:val="3"/>
        <w:numId w:val="5"/>
      </w:numPr>
      <w:spacing w:after="240"/>
      <w:jc w:val="both"/>
    </w:pPr>
    <w:rPr>
      <w:rFonts w:ascii="Times New Roman" w:eastAsia="Times New Roman" w:hAnsi="Times New Roman" w:cs="Times New Roman"/>
      <w:szCs w:val="24"/>
    </w:rPr>
  </w:style>
  <w:style w:type="paragraph" w:styleId="FootnoteText">
    <w:name w:val="footnote text"/>
    <w:aliases w:val="5_G"/>
    <w:basedOn w:val="Normal"/>
    <w:link w:val="FootnoteTextChar"/>
    <w:uiPriority w:val="99"/>
    <w:unhideWhenUsed/>
    <w:rsid w:val="002A3672"/>
    <w:rPr>
      <w:color w:val="000000"/>
      <w:sz w:val="20"/>
      <w:szCs w:val="20"/>
    </w:rPr>
  </w:style>
  <w:style w:type="character" w:customStyle="1" w:styleId="FootnoteTextChar">
    <w:name w:val="Footnote Text Char"/>
    <w:aliases w:val="5_G Char"/>
    <w:basedOn w:val="DefaultParagraphFont"/>
    <w:link w:val="FootnoteText"/>
    <w:uiPriority w:val="99"/>
    <w:rsid w:val="002A3672"/>
    <w:rPr>
      <w:color w:val="000000"/>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2A367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A3672"/>
    <w:pPr>
      <w:spacing w:after="160" w:line="240" w:lineRule="exact"/>
      <w:jc w:val="both"/>
    </w:pPr>
    <w:rPr>
      <w:vertAlign w:val="superscript"/>
    </w:rPr>
  </w:style>
  <w:style w:type="character" w:customStyle="1" w:styleId="UnresolvedMention1">
    <w:name w:val="Unresolved Mention1"/>
    <w:basedOn w:val="DefaultParagraphFont"/>
    <w:uiPriority w:val="99"/>
    <w:semiHidden/>
    <w:unhideWhenUsed/>
    <w:rsid w:val="0060533E"/>
    <w:rPr>
      <w:color w:val="605E5C"/>
      <w:shd w:val="clear" w:color="auto" w:fill="E1DFDD"/>
    </w:rPr>
  </w:style>
  <w:style w:type="paragraph" w:styleId="EndnoteText">
    <w:name w:val="endnote text"/>
    <w:basedOn w:val="Normal"/>
    <w:link w:val="EndnoteTextChar"/>
    <w:uiPriority w:val="99"/>
    <w:unhideWhenUsed/>
    <w:rsid w:val="00B3282E"/>
    <w:rPr>
      <w:sz w:val="20"/>
      <w:szCs w:val="20"/>
    </w:rPr>
  </w:style>
  <w:style w:type="character" w:customStyle="1" w:styleId="EndnoteTextChar">
    <w:name w:val="Endnote Text Char"/>
    <w:basedOn w:val="DefaultParagraphFont"/>
    <w:link w:val="EndnoteText"/>
    <w:uiPriority w:val="99"/>
    <w:rsid w:val="00B3282E"/>
    <w:rPr>
      <w:sz w:val="20"/>
      <w:szCs w:val="20"/>
    </w:rPr>
  </w:style>
  <w:style w:type="character" w:styleId="EndnoteReference">
    <w:name w:val="endnote reference"/>
    <w:basedOn w:val="DefaultParagraphFont"/>
    <w:uiPriority w:val="99"/>
    <w:unhideWhenUsed/>
    <w:rsid w:val="00B3282E"/>
    <w:rPr>
      <w:vertAlign w:val="superscript"/>
    </w:rPr>
  </w:style>
  <w:style w:type="paragraph" w:styleId="BalloonText">
    <w:name w:val="Balloon Text"/>
    <w:basedOn w:val="Normal"/>
    <w:link w:val="BalloonTextChar"/>
    <w:uiPriority w:val="99"/>
    <w:semiHidden/>
    <w:unhideWhenUsed/>
    <w:rsid w:val="00E42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15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2156"/>
    <w:rPr>
      <w:sz w:val="18"/>
      <w:szCs w:val="18"/>
    </w:rPr>
  </w:style>
  <w:style w:type="paragraph" w:styleId="CommentText">
    <w:name w:val="annotation text"/>
    <w:basedOn w:val="Normal"/>
    <w:link w:val="CommentTextChar"/>
    <w:uiPriority w:val="99"/>
    <w:semiHidden/>
    <w:unhideWhenUsed/>
    <w:rsid w:val="00E42156"/>
    <w:rPr>
      <w:szCs w:val="24"/>
    </w:rPr>
  </w:style>
  <w:style w:type="character" w:customStyle="1" w:styleId="CommentTextChar">
    <w:name w:val="Comment Text Char"/>
    <w:basedOn w:val="DefaultParagraphFont"/>
    <w:link w:val="CommentText"/>
    <w:uiPriority w:val="99"/>
    <w:semiHidden/>
    <w:rsid w:val="00E42156"/>
    <w:rPr>
      <w:szCs w:val="24"/>
    </w:rPr>
  </w:style>
  <w:style w:type="paragraph" w:styleId="CommentSubject">
    <w:name w:val="annotation subject"/>
    <w:basedOn w:val="CommentText"/>
    <w:next w:val="CommentText"/>
    <w:link w:val="CommentSubjectChar"/>
    <w:uiPriority w:val="99"/>
    <w:semiHidden/>
    <w:unhideWhenUsed/>
    <w:rsid w:val="00E42156"/>
    <w:rPr>
      <w:b/>
      <w:bCs/>
      <w:sz w:val="20"/>
      <w:szCs w:val="20"/>
    </w:rPr>
  </w:style>
  <w:style w:type="character" w:customStyle="1" w:styleId="CommentSubjectChar">
    <w:name w:val="Comment Subject Char"/>
    <w:basedOn w:val="CommentTextChar"/>
    <w:link w:val="CommentSubject"/>
    <w:uiPriority w:val="99"/>
    <w:semiHidden/>
    <w:rsid w:val="00E42156"/>
    <w:rPr>
      <w:b/>
      <w:bCs/>
      <w:sz w:val="20"/>
      <w:szCs w:val="20"/>
    </w:rPr>
  </w:style>
  <w:style w:type="character" w:styleId="UnresolvedMention">
    <w:name w:val="Unresolved Mention"/>
    <w:basedOn w:val="DefaultParagraphFont"/>
    <w:uiPriority w:val="99"/>
    <w:semiHidden/>
    <w:unhideWhenUsed/>
    <w:rsid w:val="0004059E"/>
    <w:rPr>
      <w:color w:val="605E5C"/>
      <w:shd w:val="clear" w:color="auto" w:fill="E1DFDD"/>
    </w:rPr>
  </w:style>
  <w:style w:type="paragraph" w:customStyle="1" w:styleId="SingleTxtG">
    <w:name w:val="_ Single Txt_G"/>
    <w:basedOn w:val="Normal"/>
    <w:link w:val="SingleTxtGChar"/>
    <w:qFormat/>
    <w:rsid w:val="0050764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50764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24A00"/>
    <w:rPr>
      <w:rFonts w:ascii="Times New Roman" w:eastAsia="Times New Roman" w:hAnsi="Times New Roman" w:cs="Times New Roman"/>
      <w:b/>
      <w:bCs/>
      <w:kern w:val="36"/>
      <w:sz w:val="48"/>
      <w:szCs w:val="48"/>
      <w:lang w:eastAsia="en-GB"/>
    </w:rPr>
  </w:style>
  <w:style w:type="paragraph" w:customStyle="1" w:styleId="HChG">
    <w:name w:val="_ H _Ch_G"/>
    <w:basedOn w:val="Normal"/>
    <w:next w:val="Normal"/>
    <w:link w:val="HChGChar"/>
    <w:rsid w:val="000A043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0A043B"/>
    <w:rPr>
      <w:rFonts w:ascii="Times New Roman" w:eastAsia="Times New Roman" w:hAnsi="Times New Roman" w:cs="Times New Roman"/>
      <w:b/>
      <w:sz w:val="28"/>
      <w:szCs w:val="20"/>
    </w:rPr>
  </w:style>
  <w:style w:type="paragraph" w:customStyle="1" w:styleId="footnotedescription">
    <w:name w:val="footnote description"/>
    <w:next w:val="Normal"/>
    <w:link w:val="footnotedescriptionChar"/>
    <w:hidden/>
    <w:rsid w:val="00BB0A59"/>
    <w:pPr>
      <w:spacing w:line="259" w:lineRule="auto"/>
    </w:pPr>
    <w:rPr>
      <w:rFonts w:eastAsia="Arial"/>
      <w:color w:val="0563C1"/>
      <w:sz w:val="20"/>
      <w:szCs w:val="22"/>
      <w:u w:val="single" w:color="0563C1"/>
      <w:lang w:eastAsia="en-GB"/>
    </w:rPr>
  </w:style>
  <w:style w:type="character" w:customStyle="1" w:styleId="footnotedescriptionChar">
    <w:name w:val="footnote description Char"/>
    <w:link w:val="footnotedescription"/>
    <w:rsid w:val="00BB0A59"/>
    <w:rPr>
      <w:rFonts w:eastAsia="Arial"/>
      <w:color w:val="0563C1"/>
      <w:sz w:val="20"/>
      <w:szCs w:val="22"/>
      <w:u w:val="single" w:color="0563C1"/>
      <w:lang w:eastAsia="en-GB"/>
    </w:rPr>
  </w:style>
  <w:style w:type="character" w:customStyle="1" w:styleId="footnotemark">
    <w:name w:val="footnote mark"/>
    <w:hidden/>
    <w:rsid w:val="00BB0A59"/>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3217">
      <w:bodyDiv w:val="1"/>
      <w:marLeft w:val="0"/>
      <w:marRight w:val="0"/>
      <w:marTop w:val="0"/>
      <w:marBottom w:val="0"/>
      <w:divBdr>
        <w:top w:val="none" w:sz="0" w:space="0" w:color="auto"/>
        <w:left w:val="none" w:sz="0" w:space="0" w:color="auto"/>
        <w:bottom w:val="none" w:sz="0" w:space="0" w:color="auto"/>
        <w:right w:val="none" w:sz="0" w:space="0" w:color="auto"/>
      </w:divBdr>
    </w:div>
    <w:div w:id="377780481">
      <w:bodyDiv w:val="1"/>
      <w:marLeft w:val="0"/>
      <w:marRight w:val="0"/>
      <w:marTop w:val="0"/>
      <w:marBottom w:val="0"/>
      <w:divBdr>
        <w:top w:val="none" w:sz="0" w:space="0" w:color="auto"/>
        <w:left w:val="none" w:sz="0" w:space="0" w:color="auto"/>
        <w:bottom w:val="none" w:sz="0" w:space="0" w:color="auto"/>
        <w:right w:val="none" w:sz="0" w:space="0" w:color="auto"/>
      </w:divBdr>
    </w:div>
    <w:div w:id="647831165">
      <w:bodyDiv w:val="1"/>
      <w:marLeft w:val="0"/>
      <w:marRight w:val="0"/>
      <w:marTop w:val="0"/>
      <w:marBottom w:val="0"/>
      <w:divBdr>
        <w:top w:val="none" w:sz="0" w:space="0" w:color="auto"/>
        <w:left w:val="none" w:sz="0" w:space="0" w:color="auto"/>
        <w:bottom w:val="none" w:sz="0" w:space="0" w:color="auto"/>
        <w:right w:val="none" w:sz="0" w:space="0" w:color="auto"/>
      </w:divBdr>
    </w:div>
    <w:div w:id="659358138">
      <w:bodyDiv w:val="1"/>
      <w:marLeft w:val="0"/>
      <w:marRight w:val="0"/>
      <w:marTop w:val="0"/>
      <w:marBottom w:val="0"/>
      <w:divBdr>
        <w:top w:val="none" w:sz="0" w:space="0" w:color="auto"/>
        <w:left w:val="none" w:sz="0" w:space="0" w:color="auto"/>
        <w:bottom w:val="none" w:sz="0" w:space="0" w:color="auto"/>
        <w:right w:val="none" w:sz="0" w:space="0" w:color="auto"/>
      </w:divBdr>
    </w:div>
    <w:div w:id="773861158">
      <w:bodyDiv w:val="1"/>
      <w:marLeft w:val="0"/>
      <w:marRight w:val="0"/>
      <w:marTop w:val="0"/>
      <w:marBottom w:val="0"/>
      <w:divBdr>
        <w:top w:val="none" w:sz="0" w:space="0" w:color="auto"/>
        <w:left w:val="none" w:sz="0" w:space="0" w:color="auto"/>
        <w:bottom w:val="none" w:sz="0" w:space="0" w:color="auto"/>
        <w:right w:val="none" w:sz="0" w:space="0" w:color="auto"/>
      </w:divBdr>
    </w:div>
    <w:div w:id="1077560418">
      <w:bodyDiv w:val="1"/>
      <w:marLeft w:val="0"/>
      <w:marRight w:val="0"/>
      <w:marTop w:val="0"/>
      <w:marBottom w:val="0"/>
      <w:divBdr>
        <w:top w:val="none" w:sz="0" w:space="0" w:color="auto"/>
        <w:left w:val="none" w:sz="0" w:space="0" w:color="auto"/>
        <w:bottom w:val="none" w:sz="0" w:space="0" w:color="auto"/>
        <w:right w:val="none" w:sz="0" w:space="0" w:color="auto"/>
      </w:divBdr>
    </w:div>
    <w:div w:id="1365523199">
      <w:bodyDiv w:val="1"/>
      <w:marLeft w:val="0"/>
      <w:marRight w:val="0"/>
      <w:marTop w:val="0"/>
      <w:marBottom w:val="0"/>
      <w:divBdr>
        <w:top w:val="none" w:sz="0" w:space="0" w:color="auto"/>
        <w:left w:val="none" w:sz="0" w:space="0" w:color="auto"/>
        <w:bottom w:val="none" w:sz="0" w:space="0" w:color="auto"/>
        <w:right w:val="none" w:sz="0" w:space="0" w:color="auto"/>
      </w:divBdr>
    </w:div>
    <w:div w:id="1399551766">
      <w:bodyDiv w:val="1"/>
      <w:marLeft w:val="0"/>
      <w:marRight w:val="0"/>
      <w:marTop w:val="0"/>
      <w:marBottom w:val="0"/>
      <w:divBdr>
        <w:top w:val="none" w:sz="0" w:space="0" w:color="auto"/>
        <w:left w:val="none" w:sz="0" w:space="0" w:color="auto"/>
        <w:bottom w:val="none" w:sz="0" w:space="0" w:color="auto"/>
        <w:right w:val="none" w:sz="0" w:space="0" w:color="auto"/>
      </w:divBdr>
    </w:div>
    <w:div w:id="1411655660">
      <w:bodyDiv w:val="1"/>
      <w:marLeft w:val="0"/>
      <w:marRight w:val="0"/>
      <w:marTop w:val="0"/>
      <w:marBottom w:val="0"/>
      <w:divBdr>
        <w:top w:val="none" w:sz="0" w:space="0" w:color="auto"/>
        <w:left w:val="none" w:sz="0" w:space="0" w:color="auto"/>
        <w:bottom w:val="none" w:sz="0" w:space="0" w:color="auto"/>
        <w:right w:val="none" w:sz="0" w:space="0" w:color="auto"/>
      </w:divBdr>
    </w:div>
    <w:div w:id="1473982156">
      <w:bodyDiv w:val="1"/>
      <w:marLeft w:val="0"/>
      <w:marRight w:val="0"/>
      <w:marTop w:val="0"/>
      <w:marBottom w:val="0"/>
      <w:divBdr>
        <w:top w:val="none" w:sz="0" w:space="0" w:color="auto"/>
        <w:left w:val="none" w:sz="0" w:space="0" w:color="auto"/>
        <w:bottom w:val="none" w:sz="0" w:space="0" w:color="auto"/>
        <w:right w:val="none" w:sz="0" w:space="0" w:color="auto"/>
      </w:divBdr>
      <w:divsChild>
        <w:div w:id="233468546">
          <w:marLeft w:val="360"/>
          <w:marRight w:val="0"/>
          <w:marTop w:val="0"/>
          <w:marBottom w:val="0"/>
          <w:divBdr>
            <w:top w:val="none" w:sz="0" w:space="0" w:color="auto"/>
            <w:left w:val="none" w:sz="0" w:space="0" w:color="auto"/>
            <w:bottom w:val="none" w:sz="0" w:space="0" w:color="auto"/>
            <w:right w:val="none" w:sz="0" w:space="0" w:color="auto"/>
          </w:divBdr>
        </w:div>
        <w:div w:id="1490171197">
          <w:marLeft w:val="360"/>
          <w:marRight w:val="0"/>
          <w:marTop w:val="0"/>
          <w:marBottom w:val="0"/>
          <w:divBdr>
            <w:top w:val="none" w:sz="0" w:space="0" w:color="auto"/>
            <w:left w:val="none" w:sz="0" w:space="0" w:color="auto"/>
            <w:bottom w:val="none" w:sz="0" w:space="0" w:color="auto"/>
            <w:right w:val="none" w:sz="0" w:space="0" w:color="auto"/>
          </w:divBdr>
        </w:div>
        <w:div w:id="1508859693">
          <w:marLeft w:val="360"/>
          <w:marRight w:val="0"/>
          <w:marTop w:val="0"/>
          <w:marBottom w:val="0"/>
          <w:divBdr>
            <w:top w:val="none" w:sz="0" w:space="0" w:color="auto"/>
            <w:left w:val="none" w:sz="0" w:space="0" w:color="auto"/>
            <w:bottom w:val="none" w:sz="0" w:space="0" w:color="auto"/>
            <w:right w:val="none" w:sz="0" w:space="0" w:color="auto"/>
          </w:divBdr>
        </w:div>
      </w:divsChild>
    </w:div>
    <w:div w:id="1616522936">
      <w:bodyDiv w:val="1"/>
      <w:marLeft w:val="0"/>
      <w:marRight w:val="0"/>
      <w:marTop w:val="0"/>
      <w:marBottom w:val="0"/>
      <w:divBdr>
        <w:top w:val="none" w:sz="0" w:space="0" w:color="auto"/>
        <w:left w:val="none" w:sz="0" w:space="0" w:color="auto"/>
        <w:bottom w:val="none" w:sz="0" w:space="0" w:color="auto"/>
        <w:right w:val="none" w:sz="0" w:space="0" w:color="auto"/>
      </w:divBdr>
    </w:div>
    <w:div w:id="1857310289">
      <w:bodyDiv w:val="1"/>
      <w:marLeft w:val="0"/>
      <w:marRight w:val="0"/>
      <w:marTop w:val="0"/>
      <w:marBottom w:val="0"/>
      <w:divBdr>
        <w:top w:val="none" w:sz="0" w:space="0" w:color="auto"/>
        <w:left w:val="none" w:sz="0" w:space="0" w:color="auto"/>
        <w:bottom w:val="none" w:sz="0" w:space="0" w:color="auto"/>
        <w:right w:val="none" w:sz="0" w:space="0" w:color="auto"/>
      </w:divBdr>
      <w:divsChild>
        <w:div w:id="447118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fois.scot" TargetMode="External"/><Relationship Id="rId4" Type="http://schemas.openxmlformats.org/officeDocument/2006/relationships/settings" Target="settings.xml"/><Relationship Id="rId9" Type="http://schemas.openxmlformats.org/officeDocument/2006/relationships/hyperlink" Target="http://www.cfois.sco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theferret.scot/scottish-care-homes-chinese-state-tax-havens/" TargetMode="External"/><Relationship Id="rId13" Type="http://schemas.openxmlformats.org/officeDocument/2006/relationships/hyperlink" Target="https://rm.coe.int/access-to-official-documents/16809f5c1a" TargetMode="External"/><Relationship Id="rId18" Type="http://schemas.openxmlformats.org/officeDocument/2006/relationships/hyperlink" Target="http://www.legislation.gov.uk/asp/2002/13/contents" TargetMode="External"/><Relationship Id="rId26" Type="http://schemas.openxmlformats.org/officeDocument/2006/relationships/hyperlink" Target="http://www.snaprights.info/action-areas/better-world/business-and-human-rights" TargetMode="External"/><Relationship Id="rId3" Type="http://schemas.openxmlformats.org/officeDocument/2006/relationships/hyperlink" Target="https://www.gov.scot/groups/independent-review-of-adult-social-care/" TargetMode="External"/><Relationship Id="rId21" Type="http://schemas.openxmlformats.org/officeDocument/2006/relationships/hyperlink" Target="file:///C:\Users\carol\Documents\CFoIS\FoISA%20Bill\PAPLS052020R2.pdf" TargetMode="External"/><Relationship Id="rId7" Type="http://schemas.openxmlformats.org/officeDocument/2006/relationships/hyperlink" Target="https://www.ippr.org/research/publications/financialisation-in-social-care" TargetMode="External"/><Relationship Id="rId12" Type="http://schemas.openxmlformats.org/officeDocument/2006/relationships/hyperlink" Target="https://www.coe.int/en/web/access-to-official-documents/-/consultation-of-the-parties" TargetMode="External"/><Relationship Id="rId17" Type="http://schemas.openxmlformats.org/officeDocument/2006/relationships/hyperlink" Target="https://sp-bpr-en-prod-cdnep.azureedge.net/published/EHRiC/2018/11/26/Getting-Rights-Right--Human-Rights-and-the-Scottish-Parliament-3/EHRiCS052018R6Rev.pdf" TargetMode="External"/><Relationship Id="rId25" Type="http://schemas.openxmlformats.org/officeDocument/2006/relationships/hyperlink" Target="https://www.government-online.net/national-baseline-assessment-on-business-and-human-rights-for-scottish-government/" TargetMode="External"/><Relationship Id="rId2" Type="http://schemas.openxmlformats.org/officeDocument/2006/relationships/hyperlink" Target="https://undocs.org/en/A/RES/75/111" TargetMode="External"/><Relationship Id="rId16" Type="http://schemas.openxmlformats.org/officeDocument/2006/relationships/hyperlink" Target="https://www.legislation.gov.uk/asp/2006/16/contents" TargetMode="External"/><Relationship Id="rId20" Type="http://schemas.openxmlformats.org/officeDocument/2006/relationships/hyperlink" Target="https://archive2021.parliament.scot/parliamentarybusiness/CurrentCommittees/111249.aspx" TargetMode="External"/><Relationship Id="rId29" Type="http://schemas.openxmlformats.org/officeDocument/2006/relationships/hyperlink" Target="https://www.ohchr.org/Documents/Publications/GuidingPrinciplesBusinessHR_EN.pdf" TargetMode="External"/><Relationship Id="rId1" Type="http://schemas.openxmlformats.org/officeDocument/2006/relationships/hyperlink" Target="https://www.un.org/dppa/decolonization/en/nsgt/cayman-islands" TargetMode="External"/><Relationship Id="rId6" Type="http://schemas.openxmlformats.org/officeDocument/2006/relationships/hyperlink" Target="https://cictar.org/wp-content/uploads/2021/12/Death-Deception-Dividends-Dec-3.5.pdf" TargetMode="External"/><Relationship Id="rId11" Type="http://schemas.openxmlformats.org/officeDocument/2006/relationships/hyperlink" Target="https://www.legislation.gov.uk/ssi/2004/520/contents/made" TargetMode="External"/><Relationship Id="rId24" Type="http://schemas.openxmlformats.org/officeDocument/2006/relationships/hyperlink" Target="https://www.gov.uk/government/publications/implementing-the-un-guiding-principles-on-business-and-human-rights-may-2020-update/uk-national-action-plan-on-implementing-the-un-guiding-principles-on-business-and-human-rights-progress-update-may-2020" TargetMode="External"/><Relationship Id="rId5" Type="http://schemas.openxmlformats.org/officeDocument/2006/relationships/hyperlink" Target="https://www.fairworkconvention.scot/wp-content/uploads/2018/11/Fair-Work-in-Scotland%E2%80%99s-Social-Care-Sector-2019.pdf" TargetMode="External"/><Relationship Id="rId15" Type="http://schemas.openxmlformats.org/officeDocument/2006/relationships/hyperlink" Target="https://www.gov.uk/government/consultations/strategic-lawsuits-against-public-participation-slapps" TargetMode="External"/><Relationship Id="rId23" Type="http://schemas.openxmlformats.org/officeDocument/2006/relationships/hyperlink" Target="https://eur03.safelinks.protection.outlook.com/?url=https%3A%2F%2Ftheferret.scot%2Ffreedom-of-information-scottish-government-stalling%2F&amp;data=04%7C01%7CWillie.Rennie.msp%40parliament.scot%7C06a7f8604f944b1f6daa08da10b103ac%7Cd603c99ccfdd4292926800db0d0cf081%7C1%7C0%7C637840649709144186%7CUnknown%7CTWFpbGZsb3d8eyJWIjoiMC4wLjAwMDAiLCJQIjoiV2luMzIiLCJBTiI6Ik1haWwiLCJXVCI6Mn0%3D%7C3000&amp;sdata=wEN7SU%2BNwn7zSihRtR%2BRXZ5Vvdu0%2FAqemLZYgOJATxQ%3D&amp;reserved=0" TargetMode="External"/><Relationship Id="rId28" Type="http://schemas.openxmlformats.org/officeDocument/2006/relationships/hyperlink" Target="https://www.gov.scot/policies/human-rights/human-rights-and-business/" TargetMode="External"/><Relationship Id="rId10" Type="http://schemas.openxmlformats.org/officeDocument/2006/relationships/hyperlink" Target="http://www.legislation.gov.uk/asp/2002/13/contents" TargetMode="External"/><Relationship Id="rId19" Type="http://schemas.openxmlformats.org/officeDocument/2006/relationships/hyperlink" Target="http://www.legislation.gov.uk/asp/2002/13/contents" TargetMode="External"/><Relationship Id="rId31" Type="http://schemas.openxmlformats.org/officeDocument/2006/relationships/hyperlink" Target="https://www.cfois.scot/wp-content/uploads/2020/03/Briefing-on-Public-Company-Case-Final.pdf" TargetMode="External"/><Relationship Id="rId4" Type="http://schemas.openxmlformats.org/officeDocument/2006/relationships/hyperlink" Target="https://cictar.org/wp-content/uploads/2021/12/Death-Deception-Dividends-Dec-3.5.pdf" TargetMode="External"/><Relationship Id="rId9" Type="http://schemas.openxmlformats.org/officeDocument/2006/relationships/hyperlink" Target="https://ico.org.uk/for-organisations/guide-to-the-environmental-information-regulations/what-are-the-eir/" TargetMode="External"/><Relationship Id="rId14" Type="http://schemas.openxmlformats.org/officeDocument/2006/relationships/hyperlink" Target="https://www.gov.scot/publications/guide-to-information/" TargetMode="External"/><Relationship Id="rId22" Type="http://schemas.openxmlformats.org/officeDocument/2006/relationships/hyperlink" Target="https://www.cfois.scot/?page_id=60" TargetMode="External"/><Relationship Id="rId27" Type="http://schemas.openxmlformats.org/officeDocument/2006/relationships/hyperlink" Target="https://www.snaprights.info/action-areas/better-world/business-and-human-rights" TargetMode="External"/><Relationship Id="rId30" Type="http://schemas.openxmlformats.org/officeDocument/2006/relationships/hyperlink" Target="https://www.gov.scot/publications/foi-202100176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0FD7-A063-F647-B109-729FBE04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Ewart</dc:creator>
  <cp:keywords/>
  <dc:description/>
  <cp:lastModifiedBy>Carole Ewart</cp:lastModifiedBy>
  <cp:revision>4</cp:revision>
  <cp:lastPrinted>2022-04-07T15:30:00Z</cp:lastPrinted>
  <dcterms:created xsi:type="dcterms:W3CDTF">2022-04-07T15:30:00Z</dcterms:created>
  <dcterms:modified xsi:type="dcterms:W3CDTF">2022-04-07T16:14:00Z</dcterms:modified>
</cp:coreProperties>
</file>